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602A2FDD"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w:t>
      </w:r>
      <w:r w:rsidR="008B54E8">
        <w:rPr>
          <w:bCs/>
          <w:noProof w:val="0"/>
          <w:sz w:val="24"/>
          <w:szCs w:val="24"/>
        </w:rPr>
        <w:t>20</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5C7CD5">
        <w:rPr>
          <w:bCs/>
          <w:noProof w:val="0"/>
          <w:sz w:val="24"/>
          <w:szCs w:val="24"/>
        </w:rPr>
        <w:t>2</w:t>
      </w:r>
      <w:r w:rsidR="002F0BF1">
        <w:rPr>
          <w:bCs/>
          <w:noProof w:val="0"/>
          <w:sz w:val="24"/>
          <w:szCs w:val="24"/>
        </w:rPr>
        <w:t>12262</w:t>
      </w:r>
    </w:p>
    <w:p w14:paraId="11776FA6" w14:textId="37D7B113" w:rsidR="00A209D6" w:rsidRPr="00465587" w:rsidRDefault="008B54E8" w:rsidP="00A209D6">
      <w:pPr>
        <w:pStyle w:val="Header"/>
        <w:tabs>
          <w:tab w:val="right" w:pos="9639"/>
        </w:tabs>
        <w:rPr>
          <w:rFonts w:eastAsia="SimSun"/>
          <w:bCs/>
          <w:sz w:val="24"/>
          <w:szCs w:val="24"/>
          <w:lang w:eastAsia="zh-CN"/>
        </w:rPr>
      </w:pPr>
      <w:r>
        <w:rPr>
          <w:rFonts w:eastAsia="SimSun"/>
          <w:bCs/>
          <w:sz w:val="24"/>
          <w:szCs w:val="24"/>
          <w:lang w:eastAsia="zh-CN"/>
        </w:rPr>
        <w:t>Toulouse, France</w:t>
      </w:r>
      <w:r w:rsidR="00A36F5F" w:rsidRPr="00A36F5F">
        <w:rPr>
          <w:rFonts w:eastAsia="SimSun"/>
          <w:bCs/>
          <w:sz w:val="24"/>
          <w:szCs w:val="24"/>
          <w:lang w:eastAsia="zh-CN"/>
        </w:rPr>
        <w:t xml:space="preserve">, </w:t>
      </w:r>
      <w:r w:rsidR="00A17176">
        <w:rPr>
          <w:rFonts w:eastAsia="SimSun"/>
          <w:bCs/>
          <w:sz w:val="24"/>
          <w:szCs w:val="24"/>
          <w:lang w:eastAsia="zh-CN"/>
        </w:rPr>
        <w:t>1</w:t>
      </w:r>
      <w:r>
        <w:rPr>
          <w:rFonts w:eastAsia="SimSun"/>
          <w:bCs/>
          <w:sz w:val="24"/>
          <w:szCs w:val="24"/>
          <w:lang w:eastAsia="zh-CN"/>
        </w:rPr>
        <w:t>4</w:t>
      </w:r>
      <w:r w:rsidR="005C7CD5" w:rsidRPr="005C7CD5">
        <w:rPr>
          <w:rFonts w:eastAsia="SimSun"/>
          <w:bCs/>
          <w:sz w:val="24"/>
          <w:szCs w:val="24"/>
          <w:lang w:eastAsia="zh-CN"/>
        </w:rPr>
        <w:t xml:space="preserve"> – </w:t>
      </w:r>
      <w:r w:rsidR="00A17176">
        <w:rPr>
          <w:rFonts w:eastAsia="SimSun"/>
          <w:bCs/>
          <w:sz w:val="24"/>
          <w:szCs w:val="24"/>
          <w:lang w:eastAsia="zh-CN"/>
        </w:rPr>
        <w:t>1</w:t>
      </w:r>
      <w:r>
        <w:rPr>
          <w:rFonts w:eastAsia="SimSun"/>
          <w:bCs/>
          <w:sz w:val="24"/>
          <w:szCs w:val="24"/>
          <w:lang w:eastAsia="zh-CN"/>
        </w:rPr>
        <w:t>8</w:t>
      </w:r>
      <w:r w:rsidR="005C7CD5" w:rsidRPr="005C7CD5">
        <w:rPr>
          <w:rFonts w:eastAsia="SimSun"/>
          <w:bCs/>
          <w:sz w:val="24"/>
          <w:szCs w:val="24"/>
          <w:lang w:eastAsia="zh-CN"/>
        </w:rPr>
        <w:t xml:space="preserve"> </w:t>
      </w:r>
      <w:r>
        <w:rPr>
          <w:rFonts w:eastAsia="SimSun"/>
          <w:bCs/>
          <w:sz w:val="24"/>
          <w:szCs w:val="24"/>
          <w:lang w:eastAsia="zh-CN"/>
        </w:rPr>
        <w:t>November</w:t>
      </w:r>
      <w:r w:rsidR="005C7CD5" w:rsidRPr="005C7CD5">
        <w:rPr>
          <w:rFonts w:eastAsia="SimSun"/>
          <w:bCs/>
          <w:sz w:val="24"/>
          <w:szCs w:val="24"/>
          <w:lang w:eastAsia="zh-CN"/>
        </w:rPr>
        <w:t xml:space="preserve"> 2022</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6BCB5E93"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D595A" w:rsidRPr="003D595A">
        <w:rPr>
          <w:rFonts w:cs="Arial"/>
          <w:b/>
          <w:bCs/>
          <w:sz w:val="24"/>
          <w:lang w:eastAsia="ja-JP"/>
        </w:rPr>
        <w:t>8.4.2.1.2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46C089F5"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065C4">
        <w:rPr>
          <w:rFonts w:ascii="Arial" w:hAnsi="Arial" w:cs="Arial"/>
          <w:b/>
          <w:bCs/>
          <w:sz w:val="24"/>
          <w:szCs w:val="24"/>
        </w:rPr>
        <w:t xml:space="preserve">Considerations on </w:t>
      </w:r>
      <w:r w:rsidR="00EF48E2">
        <w:rPr>
          <w:rFonts w:ascii="Arial" w:hAnsi="Arial" w:cs="Arial"/>
          <w:b/>
          <w:bCs/>
          <w:sz w:val="24"/>
          <w:szCs w:val="24"/>
        </w:rPr>
        <w:t>Procedures Description</w:t>
      </w:r>
      <w:r w:rsidR="002065C4">
        <w:rPr>
          <w:rFonts w:ascii="Arial" w:hAnsi="Arial" w:cs="Arial"/>
          <w:b/>
          <w:bCs/>
          <w:sz w:val="24"/>
          <w:szCs w:val="24"/>
        </w:rPr>
        <w:t xml:space="preserve"> in LTM </w:t>
      </w:r>
    </w:p>
    <w:p w14:paraId="25F387E8" w14:textId="4547ADD9"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0400A7" w:rsidRPr="00CF5E39">
        <w:rPr>
          <w:rFonts w:ascii="Arial" w:hAnsi="Arial" w:cs="Arial"/>
          <w:b/>
          <w:bCs/>
          <w:sz w:val="24"/>
        </w:rPr>
        <w:t xml:space="preserve">NR_Mob_enh2-Core </w:t>
      </w:r>
      <w:r w:rsidR="000400A7">
        <w:rPr>
          <w:rFonts w:ascii="Arial" w:hAnsi="Arial" w:cs="Arial"/>
          <w:b/>
          <w:bCs/>
          <w:sz w:val="24"/>
        </w:rPr>
        <w:t>- Release 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296479DC" w:rsidR="00A209D6" w:rsidRDefault="00A209D6" w:rsidP="00A209D6">
      <w:pPr>
        <w:pStyle w:val="Heading1"/>
      </w:pPr>
      <w:r w:rsidRPr="006E13D1">
        <w:t>1</w:t>
      </w:r>
      <w:r w:rsidRPr="006E13D1">
        <w:tab/>
      </w:r>
      <w:r>
        <w:t>Introduction</w:t>
      </w:r>
    </w:p>
    <w:p w14:paraId="031F4655" w14:textId="0750A4A1" w:rsidR="000400A7" w:rsidRPr="00103D80" w:rsidRDefault="00045061" w:rsidP="000400A7">
      <w:pPr>
        <w:rPr>
          <w:rStyle w:val="normaltextrun"/>
          <w:color w:val="000000"/>
          <w:shd w:val="clear" w:color="auto" w:fill="FFFFFF"/>
          <w:lang w:val="en-US"/>
        </w:rPr>
      </w:pPr>
      <w:r w:rsidRPr="00103D80">
        <w:rPr>
          <w:rStyle w:val="normaltextrun"/>
          <w:color w:val="000000"/>
          <w:shd w:val="clear" w:color="auto" w:fill="FFFFFF"/>
          <w:lang w:val="en-US"/>
        </w:rPr>
        <w:t>In R</w:t>
      </w:r>
      <w:r w:rsidR="0067694A">
        <w:rPr>
          <w:rStyle w:val="normaltextrun"/>
          <w:color w:val="000000"/>
          <w:shd w:val="clear" w:color="auto" w:fill="FFFFFF"/>
          <w:lang w:val="en-US"/>
        </w:rPr>
        <w:t>AN</w:t>
      </w:r>
      <w:r w:rsidRPr="00103D80">
        <w:rPr>
          <w:rStyle w:val="normaltextrun"/>
          <w:color w:val="000000"/>
          <w:shd w:val="clear" w:color="auto" w:fill="FFFFFF"/>
          <w:lang w:val="en-US"/>
        </w:rPr>
        <w:t>2-119bis-e</w:t>
      </w:r>
      <w:r w:rsidR="0067694A">
        <w:rPr>
          <w:rStyle w:val="normaltextrun"/>
          <w:color w:val="000000"/>
          <w:shd w:val="clear" w:color="auto" w:fill="FFFFFF"/>
          <w:lang w:val="en-US"/>
        </w:rPr>
        <w:t xml:space="preserve"> meeting,</w:t>
      </w:r>
      <w:r w:rsidRPr="00103D80">
        <w:rPr>
          <w:rStyle w:val="normaltextrun"/>
          <w:color w:val="000000"/>
          <w:shd w:val="clear" w:color="auto" w:fill="FFFFFF"/>
          <w:lang w:val="en-US"/>
        </w:rPr>
        <w:t xml:space="preserve"> the following agreements have been made relevant to the </w:t>
      </w:r>
      <w:r w:rsidR="000D13EC">
        <w:rPr>
          <w:rStyle w:val="normaltextrun"/>
          <w:color w:val="000000"/>
          <w:shd w:val="clear" w:color="auto" w:fill="FFFFFF"/>
          <w:lang w:val="en-US"/>
        </w:rPr>
        <w:t>procedures in</w:t>
      </w:r>
      <w:r w:rsidRPr="00045061">
        <w:rPr>
          <w:rStyle w:val="normaltextrun"/>
          <w:color w:val="000000"/>
          <w:shd w:val="clear" w:color="auto" w:fill="FFFFFF"/>
          <w:lang w:val="en-US"/>
        </w:rPr>
        <w:t xml:space="preserve"> LTM</w:t>
      </w:r>
      <w:r w:rsidR="00103D80">
        <w:rPr>
          <w:rStyle w:val="normaltextrun"/>
          <w:color w:val="000000"/>
          <w:shd w:val="clear" w:color="auto" w:fill="FFFFFF"/>
          <w:lang w:val="en-US"/>
        </w:rPr>
        <w:t xml:space="preserve"> [1]</w:t>
      </w:r>
      <w:r w:rsidR="000400A7" w:rsidRPr="00103D80">
        <w:rPr>
          <w:rStyle w:val="normaltextrun"/>
          <w:color w:val="000000"/>
          <w:shd w:val="clear" w:color="auto" w:fill="FFFFFF"/>
          <w:lang w:val="en-US"/>
        </w:rPr>
        <w:t>:</w:t>
      </w:r>
    </w:p>
    <w:tbl>
      <w:tblPr>
        <w:tblStyle w:val="TableGrid"/>
        <w:tblW w:w="0" w:type="auto"/>
        <w:tblLook w:val="04A0" w:firstRow="1" w:lastRow="0" w:firstColumn="1" w:lastColumn="0" w:noHBand="0" w:noVBand="1"/>
      </w:tblPr>
      <w:tblGrid>
        <w:gridCol w:w="9631"/>
      </w:tblGrid>
      <w:tr w:rsidR="000400A7" w:rsidRPr="00103D80" w14:paraId="5F3F1E0B" w14:textId="77777777" w:rsidTr="000400A7">
        <w:tc>
          <w:tcPr>
            <w:tcW w:w="9631" w:type="dxa"/>
          </w:tcPr>
          <w:p w14:paraId="292D6E38" w14:textId="4AA25D53" w:rsidR="00FF67B2" w:rsidRDefault="00FF67B2" w:rsidP="00FF67B2">
            <w:pPr>
              <w:pStyle w:val="Agreement"/>
              <w:tabs>
                <w:tab w:val="clear" w:pos="360"/>
                <w:tab w:val="num" w:pos="1619"/>
              </w:tabs>
              <w:rPr>
                <w:b w:val="0"/>
                <w:bCs/>
              </w:rPr>
            </w:pPr>
            <w:r w:rsidRPr="00FA0F99">
              <w:rPr>
                <w:b w:val="0"/>
                <w:bCs/>
              </w:rPr>
              <w:t xml:space="preserve">RAN2 assumes that RAN1 will drive discussions on L1 measurement enhancements, if any. If RAN1 identifies the need for e.g. event reporting, filtering etc, RAN2 can then be involved if needed. </w:t>
            </w:r>
          </w:p>
          <w:p w14:paraId="51E3159D" w14:textId="77777777" w:rsidR="007670A6" w:rsidRPr="007670A6" w:rsidRDefault="007670A6" w:rsidP="007670A6">
            <w:pPr>
              <w:rPr>
                <w:lang w:eastAsia="en-GB"/>
              </w:rPr>
            </w:pPr>
          </w:p>
          <w:p w14:paraId="39773D36" w14:textId="76937ADB" w:rsidR="000D13EC" w:rsidRDefault="000D13EC" w:rsidP="000D13EC">
            <w:pPr>
              <w:pStyle w:val="Agreement"/>
              <w:tabs>
                <w:tab w:val="clear" w:pos="360"/>
                <w:tab w:val="num" w:pos="1619"/>
              </w:tabs>
              <w:rPr>
                <w:b w:val="0"/>
                <w:bCs/>
              </w:rPr>
            </w:pPr>
            <w:r w:rsidRPr="00055EAE">
              <w:rPr>
                <w:b w:val="0"/>
                <w:bCs/>
              </w:rPr>
              <w:t xml:space="preserve">R2 assumes that at L1L2 cell switch: </w:t>
            </w:r>
            <w:r w:rsidRPr="000D13EC">
              <w:rPr>
                <w:b w:val="0"/>
                <w:bCs/>
              </w:rPr>
              <w:t xml:space="preserve">Whether the UE performs partial or full MAC reset </w:t>
            </w:r>
            <w:r w:rsidRPr="00055EAE">
              <w:rPr>
                <w:b w:val="0"/>
                <w:bCs/>
              </w:rPr>
              <w:t xml:space="preserve">(FFS what partial reset is, e.g. to avoid data loss), re-establish RLC, perform data recovery with PDCP is explicitly controlled by the network. R2 assumes that this can be configured by RRC. FFS if MAC CE indication(s) is/are needed. </w:t>
            </w:r>
          </w:p>
          <w:p w14:paraId="12DD2ACF" w14:textId="49BFF56E" w:rsidR="007670A6" w:rsidRDefault="007670A6" w:rsidP="007670A6">
            <w:pPr>
              <w:rPr>
                <w:lang w:eastAsia="en-GB"/>
              </w:rPr>
            </w:pPr>
          </w:p>
          <w:p w14:paraId="3A74235C" w14:textId="68EA4B84" w:rsidR="007670A6" w:rsidRDefault="007670A6" w:rsidP="007670A6">
            <w:pPr>
              <w:pStyle w:val="Agreement"/>
              <w:tabs>
                <w:tab w:val="clear" w:pos="360"/>
                <w:tab w:val="num" w:pos="1619"/>
              </w:tabs>
              <w:rPr>
                <w:b w:val="0"/>
                <w:bCs/>
              </w:rPr>
            </w:pPr>
            <w:r w:rsidRPr="00FA0F99">
              <w:rPr>
                <w:b w:val="0"/>
                <w:bCs/>
              </w:rPr>
              <w:t>FFS whether ASN.1 decoding and validity</w:t>
            </w:r>
            <w:r w:rsidRPr="00FA0F99">
              <w:rPr>
                <w:rFonts w:hint="eastAsia"/>
                <w:b w:val="0"/>
                <w:bCs/>
              </w:rPr>
              <w:t>/</w:t>
            </w:r>
            <w:r w:rsidRPr="00FA0F99">
              <w:rPr>
                <w:b w:val="0"/>
                <w:bCs/>
              </w:rPr>
              <w:t>compliance check</w:t>
            </w:r>
            <w:r w:rsidRPr="00FA0F99">
              <w:rPr>
                <w:rFonts w:hint="eastAsia"/>
                <w:b w:val="0"/>
                <w:bCs/>
              </w:rPr>
              <w:t xml:space="preserve"> of candidate cell configuration are performed upon reception of the candidate cells configuration.</w:t>
            </w:r>
            <w:r w:rsidRPr="00FA0F99">
              <w:rPr>
                <w:b w:val="0"/>
                <w:bCs/>
              </w:rPr>
              <w:t xml:space="preserve"> FFS if this need to be specified. </w:t>
            </w:r>
          </w:p>
          <w:p w14:paraId="7F6002E2" w14:textId="215B8294" w:rsidR="007670A6" w:rsidRDefault="007670A6" w:rsidP="007670A6">
            <w:pPr>
              <w:rPr>
                <w:lang w:eastAsia="en-GB"/>
              </w:rPr>
            </w:pPr>
          </w:p>
          <w:p w14:paraId="62A1A3B1" w14:textId="77777777" w:rsidR="007670A6" w:rsidRPr="00FA0F99" w:rsidRDefault="007670A6" w:rsidP="007670A6">
            <w:pPr>
              <w:pStyle w:val="Agreement"/>
              <w:tabs>
                <w:tab w:val="clear" w:pos="360"/>
                <w:tab w:val="num" w:pos="1619"/>
              </w:tabs>
              <w:rPr>
                <w:b w:val="0"/>
                <w:bCs/>
              </w:rPr>
            </w:pPr>
            <w:r w:rsidRPr="00FA0F99">
              <w:rPr>
                <w:rFonts w:hint="eastAsia"/>
                <w:b w:val="0"/>
                <w:bCs/>
              </w:rPr>
              <w:t xml:space="preserve">For UE processing, the following </w:t>
            </w:r>
            <w:r w:rsidRPr="00FA0F99">
              <w:rPr>
                <w:b w:val="0"/>
                <w:bCs/>
              </w:rPr>
              <w:t>(not exhaustive) is assumed to</w:t>
            </w:r>
            <w:r w:rsidRPr="00FA0F99">
              <w:rPr>
                <w:rFonts w:hint="eastAsia"/>
                <w:b w:val="0"/>
                <w:bCs/>
              </w:rPr>
              <w:t xml:space="preserve"> be performed after </w:t>
            </w:r>
            <w:r w:rsidRPr="00FA0F99">
              <w:rPr>
                <w:b w:val="0"/>
                <w:bCs/>
              </w:rPr>
              <w:t>receiving</w:t>
            </w:r>
            <w:r w:rsidRPr="00FA0F99">
              <w:rPr>
                <w:rFonts w:hint="eastAsia"/>
                <w:b w:val="0"/>
                <w:bCs/>
              </w:rPr>
              <w:t xml:space="preserve"> the cell switch command</w:t>
            </w:r>
            <w:r w:rsidRPr="00FA0F99">
              <w:rPr>
                <w:b w:val="0"/>
                <w:bCs/>
              </w:rPr>
              <w:t>:</w:t>
            </w:r>
          </w:p>
          <w:p w14:paraId="6E11B436" w14:textId="77777777" w:rsidR="007670A6" w:rsidRPr="00FA0F99" w:rsidRDefault="007670A6" w:rsidP="007670A6">
            <w:pPr>
              <w:pStyle w:val="Agreement"/>
              <w:numPr>
                <w:ilvl w:val="0"/>
                <w:numId w:val="9"/>
              </w:numPr>
              <w:rPr>
                <w:b w:val="0"/>
                <w:bCs/>
              </w:rPr>
            </w:pPr>
            <w:r w:rsidRPr="00FA0F99">
              <w:rPr>
                <w:b w:val="0"/>
                <w:bCs/>
              </w:rPr>
              <w:t xml:space="preserve">MAC/RLC </w:t>
            </w:r>
            <w:r w:rsidRPr="00FA0F99">
              <w:rPr>
                <w:rFonts w:hint="eastAsia"/>
                <w:b w:val="0"/>
                <w:bCs/>
              </w:rPr>
              <w:t>reset (</w:t>
            </w:r>
            <w:r w:rsidRPr="00FA0F99">
              <w:rPr>
                <w:b w:val="0"/>
                <w:bCs/>
              </w:rPr>
              <w:t>when configured</w:t>
            </w:r>
            <w:r w:rsidRPr="00FA0F99">
              <w:rPr>
                <w:rFonts w:hint="eastAsia"/>
                <w:b w:val="0"/>
                <w:bCs/>
              </w:rPr>
              <w:t>)</w:t>
            </w:r>
            <w:r w:rsidRPr="00FA0F99">
              <w:rPr>
                <w:b w:val="0"/>
                <w:bCs/>
              </w:rPr>
              <w:t xml:space="preserve"> </w:t>
            </w:r>
          </w:p>
          <w:p w14:paraId="4EAD1F96" w14:textId="3403472A" w:rsidR="007670A6" w:rsidRDefault="007670A6" w:rsidP="007670A6">
            <w:pPr>
              <w:pStyle w:val="Agreement"/>
              <w:numPr>
                <w:ilvl w:val="0"/>
                <w:numId w:val="9"/>
              </w:numPr>
              <w:rPr>
                <w:b w:val="0"/>
                <w:bCs/>
              </w:rPr>
            </w:pPr>
            <w:r w:rsidRPr="00FA0F99">
              <w:rPr>
                <w:b w:val="0"/>
                <w:bCs/>
              </w:rPr>
              <w:t>RF retuning</w:t>
            </w:r>
            <w:r w:rsidRPr="00FA0F99">
              <w:rPr>
                <w:rFonts w:hint="eastAsia"/>
                <w:b w:val="0"/>
                <w:bCs/>
              </w:rPr>
              <w:t xml:space="preserve"> (</w:t>
            </w:r>
            <w:r w:rsidRPr="00FA0F99">
              <w:rPr>
                <w:b w:val="0"/>
                <w:bCs/>
              </w:rPr>
              <w:t>e.g.</w:t>
            </w:r>
            <w:r w:rsidRPr="00FA0F99">
              <w:rPr>
                <w:rFonts w:hint="eastAsia"/>
                <w:b w:val="0"/>
                <w:bCs/>
              </w:rPr>
              <w:t xml:space="preserve"> needed for inter-frequency)</w:t>
            </w:r>
            <w:r w:rsidRPr="00FA0F99">
              <w:rPr>
                <w:b w:val="0"/>
                <w:bCs/>
              </w:rPr>
              <w:t xml:space="preserve">, baseband retuning </w:t>
            </w:r>
          </w:p>
          <w:p w14:paraId="7CCDD6D8" w14:textId="7FB80C55" w:rsidR="002A2223" w:rsidRDefault="002A2223" w:rsidP="002A2223">
            <w:pPr>
              <w:rPr>
                <w:lang w:eastAsia="en-GB"/>
              </w:rPr>
            </w:pPr>
          </w:p>
          <w:p w14:paraId="62EEBFB3" w14:textId="77777777" w:rsidR="002A2223" w:rsidRPr="00FA0F99" w:rsidRDefault="002A2223" w:rsidP="002A2223">
            <w:pPr>
              <w:pStyle w:val="Agreement"/>
              <w:tabs>
                <w:tab w:val="clear" w:pos="360"/>
                <w:tab w:val="num" w:pos="1619"/>
              </w:tabs>
              <w:rPr>
                <w:b w:val="0"/>
                <w:bCs/>
              </w:rPr>
            </w:pPr>
            <w:r w:rsidRPr="00FA0F99">
              <w:rPr>
                <w:b w:val="0"/>
                <w:bCs/>
              </w:rPr>
              <w:t xml:space="preserve">RAN2 assumes L1/2 mobility trigger information is conveyed in a MAC CE, FFS if the MAC CE or a DCI is used for the actual triggering. </w:t>
            </w:r>
          </w:p>
          <w:p w14:paraId="7A92727D" w14:textId="197D6B1A" w:rsidR="002065C4" w:rsidRPr="002065C4" w:rsidRDefault="002065C4" w:rsidP="000D13EC">
            <w:pPr>
              <w:pStyle w:val="Agreement"/>
              <w:numPr>
                <w:ilvl w:val="0"/>
                <w:numId w:val="0"/>
              </w:numPr>
            </w:pPr>
          </w:p>
        </w:tc>
      </w:tr>
    </w:tbl>
    <w:p w14:paraId="5D3ED9CA" w14:textId="723CB47B" w:rsidR="0067694A" w:rsidRDefault="00384E18" w:rsidP="00E46A44">
      <w:pPr>
        <w:jc w:val="both"/>
        <w:rPr>
          <w:bCs/>
        </w:rPr>
      </w:pPr>
      <w:r>
        <w:br/>
      </w:r>
      <w:r w:rsidR="000D13EC">
        <w:t xml:space="preserve">The </w:t>
      </w:r>
      <w:r w:rsidR="007670A6">
        <w:t>first agreement</w:t>
      </w:r>
      <w:r w:rsidR="000D13EC">
        <w:t xml:space="preserve"> relates </w:t>
      </w:r>
      <w:r w:rsidR="0067694A">
        <w:t>to</w:t>
      </w:r>
      <w:r w:rsidR="000D13EC">
        <w:t xml:space="preserve"> the </w:t>
      </w:r>
      <w:r w:rsidR="000D13EC" w:rsidRPr="00FA0F99">
        <w:rPr>
          <w:bCs/>
        </w:rPr>
        <w:t>measurement enhancements</w:t>
      </w:r>
      <w:r w:rsidR="000D13EC">
        <w:rPr>
          <w:bCs/>
        </w:rPr>
        <w:t xml:space="preserve"> and how measurements should be configured and reported. The </w:t>
      </w:r>
      <w:r w:rsidR="0067694A">
        <w:rPr>
          <w:bCs/>
        </w:rPr>
        <w:t>remaining</w:t>
      </w:r>
      <w:r w:rsidR="000D13EC">
        <w:rPr>
          <w:bCs/>
        </w:rPr>
        <w:t xml:space="preserve"> </w:t>
      </w:r>
      <w:r w:rsidR="007670A6">
        <w:rPr>
          <w:bCs/>
        </w:rPr>
        <w:t xml:space="preserve">agreements </w:t>
      </w:r>
      <w:r w:rsidR="000D13EC">
        <w:rPr>
          <w:bCs/>
        </w:rPr>
        <w:t xml:space="preserve">relate to procedures relevant to the cell switch. </w:t>
      </w:r>
    </w:p>
    <w:p w14:paraId="23ADE8EB" w14:textId="58C2595C" w:rsidR="000D13EC" w:rsidRDefault="0067694A" w:rsidP="00E46A44">
      <w:pPr>
        <w:jc w:val="both"/>
        <w:rPr>
          <w:bCs/>
        </w:rPr>
      </w:pPr>
      <w:r>
        <w:rPr>
          <w:bCs/>
        </w:rPr>
        <w:t>In this contribution, we discuss</w:t>
      </w:r>
      <w:r w:rsidR="000D13EC">
        <w:rPr>
          <w:bCs/>
        </w:rPr>
        <w:t xml:space="preserve"> </w:t>
      </w:r>
      <w:r>
        <w:rPr>
          <w:bCs/>
        </w:rPr>
        <w:t xml:space="preserve">the details of </w:t>
      </w:r>
      <w:r w:rsidR="000D13EC">
        <w:rPr>
          <w:bCs/>
        </w:rPr>
        <w:t xml:space="preserve">LTM preparation and execution, as well as enhancements </w:t>
      </w:r>
      <w:r>
        <w:rPr>
          <w:bCs/>
        </w:rPr>
        <w:t>that are</w:t>
      </w:r>
      <w:r w:rsidR="000D13EC">
        <w:rPr>
          <w:bCs/>
        </w:rPr>
        <w:t xml:space="preserve"> relevant to cell switch.</w:t>
      </w:r>
    </w:p>
    <w:p w14:paraId="7D484B6E" w14:textId="77F19562" w:rsidR="009339CB" w:rsidRDefault="009339CB" w:rsidP="009339CB">
      <w:pPr>
        <w:pStyle w:val="Heading1"/>
      </w:pPr>
      <w:r w:rsidRPr="006E13D1">
        <w:t>2</w:t>
      </w:r>
      <w:r w:rsidRPr="006E13D1">
        <w:tab/>
      </w:r>
      <w:r w:rsidR="000400A7">
        <w:t>Discussion</w:t>
      </w:r>
    </w:p>
    <w:p w14:paraId="12507779" w14:textId="16546F26" w:rsidR="00EF0039" w:rsidRDefault="00EF0039" w:rsidP="00EF0039">
      <w:pPr>
        <w:pStyle w:val="Heading2"/>
      </w:pPr>
      <w:r>
        <w:t xml:space="preserve">2.1 </w:t>
      </w:r>
      <w:r>
        <w:tab/>
      </w:r>
      <w:r w:rsidR="003E4D69">
        <w:t>LTM Preparation</w:t>
      </w:r>
      <w:r w:rsidR="002C5FD2">
        <w:t xml:space="preserve"> and </w:t>
      </w:r>
      <w:r w:rsidR="002C5FD2" w:rsidRPr="005E53E8">
        <w:t>Measurement Configuration</w:t>
      </w:r>
    </w:p>
    <w:p w14:paraId="0D7639CA" w14:textId="7B427EEE" w:rsidR="001E433B" w:rsidRDefault="001E433B" w:rsidP="001E433B">
      <w:pPr>
        <w:jc w:val="both"/>
      </w:pPr>
      <w:r>
        <w:t>In L</w:t>
      </w:r>
      <w:r w:rsidR="00912084">
        <w:t>T</w:t>
      </w:r>
      <w:r>
        <w:t xml:space="preserve">M, the CU triggers the preparation of a set of target cells based on </w:t>
      </w:r>
      <w:r w:rsidR="00912084">
        <w:t>the</w:t>
      </w:r>
      <w:r>
        <w:t xml:space="preserve"> received L3 measurement report</w:t>
      </w:r>
      <w:r w:rsidR="00912084">
        <w:t>s</w:t>
      </w:r>
      <w:r>
        <w:t>. For this, the CU fetches from the DU (serving the target cell to be prepared) all the necessary lower layer configurations and using this information, the CU generates a target cell configuration to be applied for L</w:t>
      </w:r>
      <w:r w:rsidR="00912084">
        <w:t>T</w:t>
      </w:r>
      <w:r>
        <w:t>M.</w:t>
      </w:r>
      <w:r w:rsidR="00912084">
        <w:t xml:space="preserve"> T</w:t>
      </w:r>
      <w:r>
        <w:t xml:space="preserve">he execution of target cell configuration can be triggered by the serving DU based on received L1 measurement report. That is the UE shall be configured to report L1 beam measurements for serving and prepared target cells when it receives the </w:t>
      </w:r>
      <w:r w:rsidR="00E5576B">
        <w:t>LTM</w:t>
      </w:r>
      <w:r>
        <w:t xml:space="preserve"> target configurations. Similar to CHO, the CU should be able to prepare up to 8 cells for L</w:t>
      </w:r>
      <w:r w:rsidR="00D87D7F">
        <w:t>T</w:t>
      </w:r>
      <w:r>
        <w:t>M.</w:t>
      </w:r>
    </w:p>
    <w:p w14:paraId="0EBB142F" w14:textId="11489E07" w:rsidR="001E433B" w:rsidRPr="005E53E8" w:rsidRDefault="001E433B" w:rsidP="00E37DA0">
      <w:pPr>
        <w:jc w:val="both"/>
      </w:pPr>
      <w:r w:rsidRPr="00F23344">
        <w:rPr>
          <w:b/>
          <w:bCs/>
        </w:rPr>
        <w:lastRenderedPageBreak/>
        <w:t xml:space="preserve">Proposal </w:t>
      </w:r>
      <w:r w:rsidR="00D44D3A">
        <w:rPr>
          <w:b/>
          <w:bCs/>
        </w:rPr>
        <w:t>1</w:t>
      </w:r>
      <w:r>
        <w:t xml:space="preserve">: Similar to CHO, the CU can prepare up to 8 cells for </w:t>
      </w:r>
      <w:r w:rsidR="00D87D7F">
        <w:t>LT</w:t>
      </w:r>
      <w:r>
        <w:t>M.</w:t>
      </w:r>
    </w:p>
    <w:p w14:paraId="3A020D31" w14:textId="77777777" w:rsidR="001E433B" w:rsidRDefault="001E433B" w:rsidP="001E433B">
      <w:pPr>
        <w:jc w:val="both"/>
      </w:pPr>
      <w:r>
        <w:t xml:space="preserve">Compared to measurements for higher layer mobility, measurements for lower layer mobility should enable faster reporting of target cells and also more granular so that switching to specific beams directly is possible in this case. L1 measurements already used for beam switching can be also extended for lower layer mobility. L1 measurements are based on CSI measurement configuration in current specification. </w:t>
      </w:r>
    </w:p>
    <w:p w14:paraId="7BC0DA87" w14:textId="77777777" w:rsidR="001E433B" w:rsidRDefault="001E433B" w:rsidP="001E433B">
      <w:pPr>
        <w:jc w:val="both"/>
      </w:pPr>
      <w:r>
        <w:t xml:space="preserve">The CSI measurement configuration consists of 1) CSI resource set defining the set of resources to be measured by the UE and 2) CSI reporting configuration defining the way the UE shall report the L1 beam measurements to the serving DU. </w:t>
      </w:r>
    </w:p>
    <w:p w14:paraId="308C630E" w14:textId="598FF447" w:rsidR="001E433B" w:rsidRDefault="001E433B" w:rsidP="001E433B">
      <w:pPr>
        <w:jc w:val="both"/>
      </w:pPr>
      <w:r>
        <w:t>For L</w:t>
      </w:r>
      <w:r w:rsidR="000925CD">
        <w:t>T</w:t>
      </w:r>
      <w:r>
        <w:t xml:space="preserve">M, the CU should provide a CSI measurement configuration that consists of CSI resources belonging to the prepared target cells and the associated reporting configuration. </w:t>
      </w:r>
    </w:p>
    <w:p w14:paraId="14C0ED3A" w14:textId="29E33BAD" w:rsidR="001E433B" w:rsidRDefault="001E433B" w:rsidP="001E433B">
      <w:pPr>
        <w:jc w:val="both"/>
      </w:pPr>
      <w:r w:rsidRPr="00F23344">
        <w:rPr>
          <w:b/>
          <w:bCs/>
        </w:rPr>
        <w:t xml:space="preserve">Proposal </w:t>
      </w:r>
      <w:r w:rsidR="001B667A">
        <w:rPr>
          <w:b/>
          <w:bCs/>
        </w:rPr>
        <w:t>2</w:t>
      </w:r>
      <w:r>
        <w:t>: CU provides the UE with the CSI measurement configuration for reporting the L1 beam measurements for prepared target cells along with serving cell.</w:t>
      </w:r>
    </w:p>
    <w:p w14:paraId="48597514" w14:textId="14719502" w:rsidR="001E433B" w:rsidRDefault="001E433B" w:rsidP="001E433B">
      <w:pPr>
        <w:jc w:val="both"/>
      </w:pPr>
      <w:r>
        <w:t>There are three options for configuring the CSI resource set for L</w:t>
      </w:r>
      <w:r w:rsidR="000925CD">
        <w:t>T</w:t>
      </w:r>
      <w:r>
        <w:t>M:</w:t>
      </w:r>
    </w:p>
    <w:p w14:paraId="2AED6426" w14:textId="77777777" w:rsidR="001E433B" w:rsidRDefault="001E433B" w:rsidP="001E433B">
      <w:pPr>
        <w:pStyle w:val="ListParagraph"/>
        <w:numPr>
          <w:ilvl w:val="0"/>
          <w:numId w:val="20"/>
        </w:numPr>
        <w:jc w:val="both"/>
      </w:pPr>
      <w:r>
        <w:t>Option 1: The CSI measurement configuration indicates explicitly the RS indices that shall be measured by the UE for serving and target cells.</w:t>
      </w:r>
    </w:p>
    <w:p w14:paraId="7027BE26" w14:textId="77777777" w:rsidR="001E433B" w:rsidRDefault="001E433B" w:rsidP="001E433B">
      <w:pPr>
        <w:pStyle w:val="ListParagraph"/>
        <w:numPr>
          <w:ilvl w:val="1"/>
          <w:numId w:val="20"/>
        </w:numPr>
        <w:jc w:val="both"/>
      </w:pPr>
      <w:r>
        <w:t>In this option, the CU needs to fetch from the DU the CSI resources that shall be measured for the prepared target cell.</w:t>
      </w:r>
    </w:p>
    <w:p w14:paraId="3FB6A86C" w14:textId="45A960BB" w:rsidR="001E433B" w:rsidRDefault="001E433B" w:rsidP="001E433B">
      <w:pPr>
        <w:pStyle w:val="ListParagraph"/>
        <w:numPr>
          <w:ilvl w:val="1"/>
          <w:numId w:val="20"/>
        </w:numPr>
        <w:jc w:val="both"/>
      </w:pPr>
      <w:r>
        <w:t xml:space="preserve">The CU communicates the CSI resources of prepared target cell to the serving DU which can then generate a CSI measurement reporting configuration for </w:t>
      </w:r>
      <w:r w:rsidR="00E5576B">
        <w:t>LTM</w:t>
      </w:r>
      <w:r>
        <w:t>.</w:t>
      </w:r>
    </w:p>
    <w:p w14:paraId="5D68115F" w14:textId="77777777" w:rsidR="001E433B" w:rsidRDefault="001E433B" w:rsidP="001E433B">
      <w:pPr>
        <w:pStyle w:val="ListParagraph"/>
        <w:numPr>
          <w:ilvl w:val="0"/>
          <w:numId w:val="20"/>
        </w:numPr>
        <w:jc w:val="both"/>
      </w:pPr>
      <w:r>
        <w:t>Option 2: The CSI measurement configuration does not indicate explicitly the RS indices that shall be measured, but rather it is left for UE to measure and report e.g., strongest RS indices for the serving and target cells.</w:t>
      </w:r>
    </w:p>
    <w:p w14:paraId="7C6F570E" w14:textId="77777777" w:rsidR="001E433B" w:rsidRDefault="001E433B" w:rsidP="001E433B">
      <w:pPr>
        <w:pStyle w:val="ListParagraph"/>
        <w:numPr>
          <w:ilvl w:val="0"/>
          <w:numId w:val="20"/>
        </w:numPr>
        <w:jc w:val="both"/>
      </w:pPr>
      <w:r>
        <w:t>Option 3: CSI measurement resources in all the target cells are configured towards UE as larger set for lower layer mobility. Only a subset of these resources is activated for measurements at given time for measurement reporting. This subset can be called an active set. DU/CU can modify the active set for L1 measurement reporting based on the latest L3 measurement events reported from UE.</w:t>
      </w:r>
    </w:p>
    <w:p w14:paraId="566BA35A" w14:textId="77777777" w:rsidR="001E433B" w:rsidRDefault="001E433B" w:rsidP="001E433B">
      <w:pPr>
        <w:jc w:val="both"/>
      </w:pPr>
      <w:r>
        <w:t xml:space="preserve">Option 1 follows the CSI framework for beam management and ICBM where the network indicates up to e.g., 64 RS indices to be measured. Given that the UE can be prepared with more than one prepared target cell, it may happen that the configured list of CSI resources needs to be updated, e.g., remove/or add RS indices, due to UE mobility. Continuous update of the CSI resource set by means of RRC Reconfiguration is costly in terms of </w:t>
      </w:r>
      <w:proofErr w:type="spellStart"/>
      <w:r>
        <w:t>signaling</w:t>
      </w:r>
      <w:proofErr w:type="spellEnd"/>
      <w:r>
        <w:t xml:space="preserve"> overhead and delay. On the other hand, in Option 2 the UE can determine which e.g., 64 RS indices of the serving and prepared target cell it shall consider for measurement and reporting at each time. Herein, the network no longer needs to take care of updating the CSI resource set as the UE can identify the relevant RS indices that shall be measured and reported.  Option 3 is similar to Option 1 in terms of benefits for a faster L1 measurement report with additional control on the measurement resources based on L3 measurement results.</w:t>
      </w:r>
    </w:p>
    <w:p w14:paraId="7A66A9DB" w14:textId="77777777" w:rsidR="001E433B" w:rsidRDefault="001E433B" w:rsidP="001E433B">
      <w:pPr>
        <w:jc w:val="both"/>
      </w:pPr>
      <w:r>
        <w:t>Each option has some pros and cons and RAN2 needs to decide on one of them as way forward for CSI resource set configuration.</w:t>
      </w:r>
    </w:p>
    <w:p w14:paraId="4F8F218E" w14:textId="0D751A1E" w:rsidR="001E433B" w:rsidRDefault="001E433B" w:rsidP="001E433B">
      <w:pPr>
        <w:jc w:val="both"/>
      </w:pPr>
      <w:r w:rsidRPr="00F23344">
        <w:rPr>
          <w:b/>
          <w:bCs/>
        </w:rPr>
        <w:t xml:space="preserve">Proposal </w:t>
      </w:r>
      <w:r w:rsidR="00E65655">
        <w:rPr>
          <w:b/>
          <w:bCs/>
        </w:rPr>
        <w:t>3</w:t>
      </w:r>
      <w:r>
        <w:t>: RAN2 to decide on whether the CSI measurement configuration needs to explicitly define the RS indices that shall be measured for the serving and prepared target cells in L</w:t>
      </w:r>
      <w:r w:rsidR="000925CD">
        <w:t>T</w:t>
      </w:r>
      <w:r>
        <w:t>M.</w:t>
      </w:r>
    </w:p>
    <w:p w14:paraId="41072D1C" w14:textId="2EBB9B53" w:rsidR="001E433B" w:rsidRDefault="001E433B" w:rsidP="001E433B">
      <w:pPr>
        <w:jc w:val="both"/>
      </w:pPr>
      <w:r>
        <w:t>In L</w:t>
      </w:r>
      <w:r w:rsidR="000925CD">
        <w:t>T</w:t>
      </w:r>
      <w:r>
        <w:t>M, the serving DU receives the L1 beam measurements for serving and neighbouring cells and as such the serving DU shall decide on the CSI reporting configuration. Consequently, it is reasonable to assume that the serving DU decides then on the entire CSI measurement configuration for L</w:t>
      </w:r>
      <w:r w:rsidR="000925CD">
        <w:t>T</w:t>
      </w:r>
      <w:r>
        <w:t>M which is provided to the UE via CU.</w:t>
      </w:r>
    </w:p>
    <w:p w14:paraId="4B5A73EC" w14:textId="6077A233" w:rsidR="001E433B" w:rsidRDefault="001E433B" w:rsidP="001E433B">
      <w:pPr>
        <w:jc w:val="both"/>
      </w:pPr>
      <w:r w:rsidRPr="00F23344">
        <w:rPr>
          <w:b/>
          <w:bCs/>
        </w:rPr>
        <w:t xml:space="preserve">Proposal </w:t>
      </w:r>
      <w:r w:rsidR="00A07DB0">
        <w:rPr>
          <w:b/>
          <w:bCs/>
        </w:rPr>
        <w:t>4</w:t>
      </w:r>
      <w:r>
        <w:t xml:space="preserve">: Serving DU decides on the CSI measurement configuration for </w:t>
      </w:r>
      <w:r w:rsidR="00E5576B">
        <w:t>LTM</w:t>
      </w:r>
      <w:r>
        <w:t xml:space="preserve"> which is provided to the UE via the CU.</w:t>
      </w:r>
    </w:p>
    <w:p w14:paraId="681DFC06" w14:textId="77777777" w:rsidR="001E433B" w:rsidRDefault="001E433B" w:rsidP="001E433B">
      <w:pPr>
        <w:jc w:val="both"/>
      </w:pPr>
      <w:r>
        <w:t>To make a proper serving cell change decision, the radio link of the serving cell shall be compared against the radio link of other prepared target cells using the same reference signal (RS) type: SSB or CSI-RS. If both RS types are to be supported, the CSI measurement configuration shall ensure that the UE measures and reports measurements for the same RS type for both serving cell and prepared target cells.</w:t>
      </w:r>
    </w:p>
    <w:p w14:paraId="615A6378" w14:textId="68966C4C" w:rsidR="001E433B" w:rsidRDefault="001E433B" w:rsidP="001E433B">
      <w:pPr>
        <w:jc w:val="both"/>
      </w:pPr>
      <w:r w:rsidRPr="009531CD">
        <w:rPr>
          <w:b/>
          <w:bCs/>
        </w:rPr>
        <w:t xml:space="preserve">Proposal </w:t>
      </w:r>
      <w:r w:rsidR="00905D96">
        <w:rPr>
          <w:b/>
          <w:bCs/>
        </w:rPr>
        <w:t>5</w:t>
      </w:r>
      <w:r w:rsidRPr="009531CD">
        <w:rPr>
          <w:b/>
          <w:bCs/>
        </w:rPr>
        <w:t>:</w:t>
      </w:r>
      <w:r>
        <w:t xml:space="preserve"> The CSI measurement configuration for L</w:t>
      </w:r>
      <w:r w:rsidR="000925CD">
        <w:t>T</w:t>
      </w:r>
      <w:r>
        <w:t>M shall ensure that the UE measures and reports measurements for same reference signal type (SSB or CSI-RS) for both serving and prepared target cells.</w:t>
      </w:r>
    </w:p>
    <w:p w14:paraId="0A181F94" w14:textId="5C342AB0" w:rsidR="00131978" w:rsidRDefault="000E598E" w:rsidP="002065C4">
      <w:pPr>
        <w:pStyle w:val="Heading2"/>
      </w:pPr>
      <w:r w:rsidRPr="005E53E8">
        <w:lastRenderedPageBreak/>
        <w:t>2.</w:t>
      </w:r>
      <w:r w:rsidR="002065C4">
        <w:t>2</w:t>
      </w:r>
      <w:r w:rsidRPr="005E53E8">
        <w:tab/>
      </w:r>
      <w:r w:rsidR="003E4D69">
        <w:t>LTM Execution</w:t>
      </w:r>
    </w:p>
    <w:p w14:paraId="68EC5DB7" w14:textId="3D3563BA" w:rsidR="002A2223" w:rsidRDefault="002A2223" w:rsidP="002A2223">
      <w:pPr>
        <w:jc w:val="both"/>
      </w:pPr>
      <w:r>
        <w:t xml:space="preserve">In Rel-17, the L1-RSRP reporting was agreed to be used for inter-cell beam management and inter-cell multi-TRP operation. The Rel-15 L1-RSRP reporting format was reused and the reported SSBRI (SSB resource indicators) were associated with a PCI in the CSI-SSB measurement configuration. The number of reported beams in a single reporting instance was not increased and is configurable by network, up to 4 reported RS in cell having different PCI than serving cell. </w:t>
      </w:r>
      <w:r w:rsidR="001F0C38">
        <w:t xml:space="preserve">Additionally, </w:t>
      </w:r>
      <w:r w:rsidR="001F0C38" w:rsidRPr="005C55BB">
        <w:t xml:space="preserve">the NZP-CSI-RS </w:t>
      </w:r>
      <w:r w:rsidR="001F0C38">
        <w:t xml:space="preserve">is not </w:t>
      </w:r>
      <w:r w:rsidR="001F0C38" w:rsidRPr="005C55BB">
        <w:t>explicitly</w:t>
      </w:r>
      <w:r w:rsidR="001F0C38">
        <w:t xml:space="preserve"> associated</w:t>
      </w:r>
      <w:r w:rsidR="001F0C38" w:rsidRPr="005C55BB">
        <w:t xml:space="preserve"> with a PCI value but use the QCL chain</w:t>
      </w:r>
      <w:r w:rsidR="001F0C38">
        <w:t xml:space="preserve"> is used. </w:t>
      </w:r>
    </w:p>
    <w:p w14:paraId="1E6D22E3" w14:textId="6DC57D6B" w:rsidR="002A2223" w:rsidRPr="00F9518B" w:rsidRDefault="002A2223" w:rsidP="002A2223">
      <w:pPr>
        <w:jc w:val="both"/>
      </w:pPr>
      <w:r w:rsidRPr="00AB7C28">
        <w:rPr>
          <w:b/>
          <w:bCs/>
        </w:rPr>
        <w:t>Proposal</w:t>
      </w:r>
      <w:r>
        <w:rPr>
          <w:b/>
          <w:bCs/>
        </w:rPr>
        <w:t xml:space="preserve"> </w:t>
      </w:r>
      <w:r w:rsidR="00FF54DA">
        <w:rPr>
          <w:b/>
          <w:bCs/>
        </w:rPr>
        <w:t>6</w:t>
      </w:r>
      <w:r w:rsidRPr="00F9518B">
        <w:rPr>
          <w:b/>
          <w:bCs/>
        </w:rPr>
        <w:t xml:space="preserve">: </w:t>
      </w:r>
      <w:r w:rsidR="009E21F2">
        <w:t>T</w:t>
      </w:r>
      <w:r w:rsidRPr="002E7626">
        <w:t>he maximum number of reported RS in a single reporting instance is 4</w:t>
      </w:r>
      <w:r w:rsidR="001F0C38">
        <w:t xml:space="preserve"> and the </w:t>
      </w:r>
      <w:r w:rsidR="001F0C38" w:rsidRPr="00FA3194">
        <w:t>same principle of QCL chain for associating signals with specific PCI for L1 measurements and reporting</w:t>
      </w:r>
      <w:r w:rsidRPr="002E7626">
        <w:t>.</w:t>
      </w:r>
    </w:p>
    <w:p w14:paraId="79033750" w14:textId="7797E5F0" w:rsidR="002A2223" w:rsidRDefault="002A2223" w:rsidP="002A2223">
      <w:pPr>
        <w:jc w:val="both"/>
      </w:pPr>
      <w:r>
        <w:t>In our view, all the time types (aperiodic, semi-persistent, periodic) of CSI measurement/reporting should be supported for L</w:t>
      </w:r>
      <w:r w:rsidR="001F0C38">
        <w:t>T</w:t>
      </w:r>
      <w:r>
        <w:t>M, since it uses lower layer mechanism to determine whether to switch the UE to new target cell. It would be up to network implementation to determine which type to configure.</w:t>
      </w:r>
    </w:p>
    <w:p w14:paraId="0B6DFD24" w14:textId="4C695B98" w:rsidR="002A2223" w:rsidRPr="00FA3194" w:rsidRDefault="002A2223" w:rsidP="002A2223">
      <w:pPr>
        <w:jc w:val="both"/>
      </w:pPr>
      <w:r w:rsidRPr="00642C04">
        <w:rPr>
          <w:b/>
          <w:bCs/>
        </w:rPr>
        <w:t>Proposal</w:t>
      </w:r>
      <w:r>
        <w:rPr>
          <w:b/>
          <w:bCs/>
        </w:rPr>
        <w:t xml:space="preserve"> </w:t>
      </w:r>
      <w:r w:rsidR="009D5A4D">
        <w:rPr>
          <w:b/>
          <w:bCs/>
        </w:rPr>
        <w:t>7</w:t>
      </w:r>
      <w:r w:rsidRPr="00FA3194">
        <w:t xml:space="preserve">: Support all the CSI reporting time types for </w:t>
      </w:r>
      <w:r w:rsidR="00E5576B">
        <w:t>LTM</w:t>
      </w:r>
      <w:r w:rsidRPr="00FA3194">
        <w:t>: aperiodic, semi-persistent, periodic.</w:t>
      </w:r>
    </w:p>
    <w:p w14:paraId="1594F1F9" w14:textId="77777777" w:rsidR="002A2223" w:rsidRDefault="002A2223" w:rsidP="002A2223">
      <w:pPr>
        <w:jc w:val="both"/>
      </w:pPr>
      <w:r>
        <w:t xml:space="preserve">The number of different PCIs that can be configured to be reported in a single L1 reporting instance is not currently limited by the reporting configuration (nor it was limited by Rel-17 RAN1 agreements). Thus, the beam management framework could support configuration of up to 8 PCIs (1 serving + 7 additional PCIs). </w:t>
      </w:r>
    </w:p>
    <w:p w14:paraId="0E139129" w14:textId="195D1775" w:rsidR="002A2223" w:rsidRDefault="002A2223" w:rsidP="002A2223">
      <w:pPr>
        <w:jc w:val="both"/>
        <w:rPr>
          <w:lang w:val="en-US"/>
        </w:rPr>
      </w:pPr>
      <w:r>
        <w:rPr>
          <w:lang w:val="en-US"/>
        </w:rPr>
        <w:t>The L1-RSRP report format includes only the resource indicator value and the reported measurement quantity value (</w:t>
      </w:r>
      <w:proofErr w:type="gramStart"/>
      <w:r>
        <w:rPr>
          <w:lang w:val="en-US"/>
        </w:rPr>
        <w:t>e.g.</w:t>
      </w:r>
      <w:proofErr w:type="gramEnd"/>
      <w:r>
        <w:rPr>
          <w:lang w:val="en-US"/>
        </w:rPr>
        <w:t xml:space="preserve"> RSRP). The resource indicator is associated to the PCI and specific resource index (e.g.</w:t>
      </w:r>
      <w:r w:rsidR="001F0C38">
        <w:rPr>
          <w:lang w:val="en-US"/>
        </w:rPr>
        <w:t>,</w:t>
      </w:r>
      <w:r>
        <w:rPr>
          <w:lang w:val="en-US"/>
        </w:rPr>
        <w:t xml:space="preserve"> SSB) in the resource configuration. This has some limitation since UE cannot report any DL RS without it being explicitly configured.</w:t>
      </w:r>
    </w:p>
    <w:p w14:paraId="6D560932" w14:textId="00EBBB73" w:rsidR="002A2223" w:rsidRPr="00FA3194" w:rsidRDefault="002A2223" w:rsidP="002A2223">
      <w:pPr>
        <w:jc w:val="both"/>
        <w:rPr>
          <w:b/>
          <w:lang w:val="en-US"/>
        </w:rPr>
      </w:pPr>
      <w:r w:rsidRPr="00265C83">
        <w:rPr>
          <w:b/>
          <w:bCs/>
          <w:lang w:val="en-US"/>
        </w:rPr>
        <w:t>Observation</w:t>
      </w:r>
      <w:r>
        <w:rPr>
          <w:b/>
          <w:bCs/>
          <w:lang w:val="en-US"/>
        </w:rPr>
        <w:t xml:space="preserve"> </w:t>
      </w:r>
      <w:r w:rsidR="009D5A4D">
        <w:rPr>
          <w:b/>
          <w:bCs/>
          <w:lang w:val="en-US"/>
        </w:rPr>
        <w:t>1</w:t>
      </w:r>
      <w:r w:rsidRPr="00FA3194">
        <w:rPr>
          <w:b/>
          <w:lang w:val="en-US"/>
        </w:rPr>
        <w:t xml:space="preserve">: </w:t>
      </w:r>
      <w:r>
        <w:rPr>
          <w:lang w:val="en-US"/>
        </w:rPr>
        <w:t>If the L1-RSRP reporting format is used for L</w:t>
      </w:r>
      <w:r w:rsidR="001F0C38">
        <w:rPr>
          <w:lang w:val="en-US"/>
        </w:rPr>
        <w:t>T</w:t>
      </w:r>
      <w:r>
        <w:rPr>
          <w:lang w:val="en-US"/>
        </w:rPr>
        <w:t>M, the PCI association needs to be given in the resource configuration (directly or indirectly).</w:t>
      </w:r>
    </w:p>
    <w:p w14:paraId="44CC053C" w14:textId="77777777" w:rsidR="000E60F6" w:rsidRDefault="000E60F6" w:rsidP="000E60F6">
      <w:pPr>
        <w:jc w:val="both"/>
        <w:rPr>
          <w:lang w:val="en-US"/>
        </w:rPr>
      </w:pPr>
      <w:r>
        <w:rPr>
          <w:lang w:val="en-US"/>
        </w:rPr>
        <w:t>The current L1 reporting framework may also have additional limitations regarding the number of configured reference signals, i.e., currently based on UE capability the maximum number of reference signals that can be configured for UE to measure is up to 64. If it is considered that 8 PCI (each having potentially up to 64 SSBs), further mechanisms may be needed to configure/update the UE with specific set of reported SSBs (or configure/update the reporting configuration).</w:t>
      </w:r>
    </w:p>
    <w:p w14:paraId="7FFB116A" w14:textId="6E82ED76" w:rsidR="000E60F6" w:rsidRPr="00DA2A2D" w:rsidDel="000E60F6" w:rsidRDefault="000E60F6" w:rsidP="002A2223">
      <w:pPr>
        <w:jc w:val="both"/>
        <w:rPr>
          <w:b/>
          <w:lang w:val="en-US"/>
        </w:rPr>
      </w:pPr>
      <w:r w:rsidRPr="002C7982">
        <w:rPr>
          <w:b/>
          <w:bCs/>
          <w:lang w:val="en-US"/>
        </w:rPr>
        <w:t>Proposal</w:t>
      </w:r>
      <w:r>
        <w:rPr>
          <w:b/>
          <w:bCs/>
          <w:lang w:val="en-US"/>
        </w:rPr>
        <w:t xml:space="preserve"> </w:t>
      </w:r>
      <w:r w:rsidR="009D5A4D">
        <w:rPr>
          <w:b/>
          <w:bCs/>
          <w:lang w:val="en-US"/>
        </w:rPr>
        <w:t>8</w:t>
      </w:r>
      <w:r w:rsidRPr="00B450DF">
        <w:rPr>
          <w:b/>
          <w:lang w:val="en-US"/>
        </w:rPr>
        <w:t xml:space="preserve">:  </w:t>
      </w:r>
      <w:r>
        <w:rPr>
          <w:lang w:val="en-US"/>
        </w:rPr>
        <w:t>Consider mechanisms to activate subset of configured reference signals or reporting configurations to be active for L1 reporting of</w:t>
      </w:r>
      <w:r w:rsidRPr="007A39DE">
        <w:rPr>
          <w:lang w:val="en-US"/>
        </w:rPr>
        <w:t xml:space="preserve"> </w:t>
      </w:r>
      <w:r>
        <w:rPr>
          <w:lang w:val="en-US"/>
        </w:rPr>
        <w:t>LTM cells.</w:t>
      </w:r>
    </w:p>
    <w:p w14:paraId="0EE05101" w14:textId="47C0A62B" w:rsidR="002A2223" w:rsidRPr="00D06229" w:rsidRDefault="002A2223" w:rsidP="002A2223">
      <w:pPr>
        <w:jc w:val="both"/>
        <w:rPr>
          <w:lang w:val="en-US"/>
        </w:rPr>
      </w:pPr>
      <w:r w:rsidRPr="00D06229">
        <w:rPr>
          <w:lang w:val="en-US"/>
        </w:rPr>
        <w:t xml:space="preserve">Alternatively, </w:t>
      </w:r>
      <w:r>
        <w:rPr>
          <w:lang w:val="en-US"/>
        </w:rPr>
        <w:t>if the UE can be configured to use L1 reporting of DL RS that are not explicitly configured, new L1 reporting format would be needed</w:t>
      </w:r>
      <w:r w:rsidR="000E60F6">
        <w:rPr>
          <w:lang w:val="en-US"/>
        </w:rPr>
        <w:t xml:space="preserve"> so that the PCI is explicitly associated with the reported RS (at least in case of SSBs)</w:t>
      </w:r>
      <w:r>
        <w:rPr>
          <w:lang w:val="en-US"/>
        </w:rPr>
        <w:t xml:space="preserve"> In any case, the UE capability limitation would still potentially </w:t>
      </w:r>
      <w:proofErr w:type="gramStart"/>
      <w:r>
        <w:rPr>
          <w:lang w:val="en-US"/>
        </w:rPr>
        <w:t>apply, if</w:t>
      </w:r>
      <w:proofErr w:type="gramEnd"/>
      <w:r>
        <w:rPr>
          <w:lang w:val="en-US"/>
        </w:rPr>
        <w:t xml:space="preserve"> the reporting is assumed </w:t>
      </w:r>
      <w:r w:rsidR="001F0C38">
        <w:rPr>
          <w:lang w:val="en-US"/>
        </w:rPr>
        <w:t xml:space="preserve">to </w:t>
      </w:r>
      <w:r>
        <w:rPr>
          <w:lang w:val="en-US"/>
        </w:rPr>
        <w:t>be in beam management framework</w:t>
      </w:r>
      <w:r w:rsidR="001F0C38">
        <w:rPr>
          <w:lang w:val="en-US"/>
        </w:rPr>
        <w:t>.</w:t>
      </w:r>
    </w:p>
    <w:p w14:paraId="4E904EDB" w14:textId="4DA6465D" w:rsidR="002A2223" w:rsidRDefault="002A2223" w:rsidP="002A2223">
      <w:pPr>
        <w:jc w:val="both"/>
        <w:rPr>
          <w:lang w:val="en-US"/>
        </w:rPr>
      </w:pPr>
      <w:r w:rsidRPr="00265C83">
        <w:rPr>
          <w:b/>
          <w:bCs/>
          <w:lang w:val="en-US"/>
        </w:rPr>
        <w:t>Observation</w:t>
      </w:r>
      <w:r>
        <w:rPr>
          <w:b/>
          <w:bCs/>
          <w:lang w:val="en-US"/>
        </w:rPr>
        <w:t xml:space="preserve"> </w:t>
      </w:r>
      <w:r w:rsidR="009D5A4D">
        <w:rPr>
          <w:b/>
          <w:bCs/>
          <w:lang w:val="en-US"/>
        </w:rPr>
        <w:t>2</w:t>
      </w:r>
      <w:r w:rsidRPr="00FA3194">
        <w:rPr>
          <w:b/>
          <w:lang w:val="en-US"/>
        </w:rPr>
        <w:t xml:space="preserve">: </w:t>
      </w:r>
      <w:r>
        <w:rPr>
          <w:lang w:val="en-US"/>
        </w:rPr>
        <w:t>If the UE can be configured to report DL RS that are not explicitly configured</w:t>
      </w:r>
      <w:r w:rsidR="00E03866">
        <w:rPr>
          <w:lang w:val="en-US"/>
        </w:rPr>
        <w:t xml:space="preserve"> (similar to how </w:t>
      </w:r>
      <w:r w:rsidR="00191723">
        <w:rPr>
          <w:lang w:val="en-US"/>
        </w:rPr>
        <w:t>SSB indices are measured and reported for L3 measurement</w:t>
      </w:r>
      <w:r w:rsidR="00E03866">
        <w:rPr>
          <w:lang w:val="en-US"/>
        </w:rPr>
        <w:t>)</w:t>
      </w:r>
      <w:r>
        <w:rPr>
          <w:lang w:val="en-US"/>
        </w:rPr>
        <w:t>, the L1 reporting format would need to include PCI(s) to associate the reported RS(s)</w:t>
      </w:r>
    </w:p>
    <w:p w14:paraId="14F3BE27" w14:textId="588A22DC" w:rsidR="0019661A" w:rsidRDefault="0019661A" w:rsidP="0019661A">
      <w:pPr>
        <w:pStyle w:val="Heading2"/>
      </w:pPr>
      <w:r>
        <w:t xml:space="preserve">2.3 </w:t>
      </w:r>
      <w:r>
        <w:tab/>
      </w:r>
      <w:r w:rsidR="009F6C36">
        <w:t>Reconfiguration Failure handling for LTM</w:t>
      </w:r>
    </w:p>
    <w:p w14:paraId="10F25BEC" w14:textId="42000E54" w:rsidR="009847B9" w:rsidRDefault="009847B9" w:rsidP="009847B9">
      <w:pPr>
        <w:jc w:val="both"/>
      </w:pPr>
      <w:r>
        <w:t xml:space="preserve">Reconfiguration Failure handling as per current specification for L3 mobility is illustrated in Figure </w:t>
      </w:r>
      <w:r w:rsidR="00AF0A59">
        <w:t>1</w:t>
      </w:r>
      <w:r>
        <w:t>. The figure captures the reconfiguration failure handling for classic handover and conditional handover scenarios. When UE applies the new configuration there is a possibility that it is not compliant to its internal functions/modules. In such case, it is not possible to revert to the original state as the internal states might have moved to a new ‘unstable’ condition due to new configuration. To recover the radio link, the UE performs the re-establishment procedure.</w:t>
      </w:r>
    </w:p>
    <w:p w14:paraId="3CBD2E99" w14:textId="1C8430E7" w:rsidR="009847B9" w:rsidRDefault="009847B9" w:rsidP="009847B9">
      <w:pPr>
        <w:jc w:val="both"/>
      </w:pPr>
      <w:r>
        <w:t>Re-establishment procedure is a</w:t>
      </w:r>
      <w:r w:rsidR="00AF0A59">
        <w:t xml:space="preserve"> relatively</w:t>
      </w:r>
      <w:r>
        <w:t xml:space="preserve"> slow recovery mechanism containing following steps:</w:t>
      </w:r>
    </w:p>
    <w:p w14:paraId="40B17075" w14:textId="1654BF4C" w:rsidR="009847B9" w:rsidRDefault="009847B9" w:rsidP="009847B9">
      <w:pPr>
        <w:pStyle w:val="ListParagraph"/>
        <w:numPr>
          <w:ilvl w:val="0"/>
          <w:numId w:val="18"/>
        </w:numPr>
        <w:jc w:val="both"/>
      </w:pPr>
      <w:r>
        <w:t>UE first use</w:t>
      </w:r>
      <w:r w:rsidR="00AF0A59">
        <w:t>s</w:t>
      </w:r>
      <w:r>
        <w:t xml:space="preserve"> the stored configuration for starting re-establishment. But releases all the configurations except security configuration and DCCH configurations for SRB.</w:t>
      </w:r>
    </w:p>
    <w:p w14:paraId="72342047" w14:textId="514F8A24" w:rsidR="009847B9" w:rsidRDefault="009847B9" w:rsidP="009847B9">
      <w:pPr>
        <w:pStyle w:val="ListParagraph"/>
        <w:numPr>
          <w:ilvl w:val="0"/>
          <w:numId w:val="18"/>
        </w:numPr>
        <w:jc w:val="both"/>
      </w:pPr>
      <w:r>
        <w:t>UE appl</w:t>
      </w:r>
      <w:r w:rsidR="00AF0A59">
        <w:t>ies</w:t>
      </w:r>
      <w:r>
        <w:t xml:space="preserve"> these configurations when it attempts for Re-establishment to send the message and also receive acceptance.</w:t>
      </w:r>
    </w:p>
    <w:p w14:paraId="54C73396" w14:textId="77777777" w:rsidR="009847B9" w:rsidRDefault="009847B9" w:rsidP="009847B9">
      <w:pPr>
        <w:pStyle w:val="ListParagraph"/>
        <w:numPr>
          <w:ilvl w:val="0"/>
          <w:numId w:val="18"/>
        </w:numPr>
        <w:jc w:val="both"/>
      </w:pPr>
      <w:r>
        <w:t>UE will resume its data transmission only on receiving the RRC-Reconfiguration where NW decides on Full Config (most of the cases for re-establishment for safe recovery) or Delta configuration.</w:t>
      </w:r>
    </w:p>
    <w:p w14:paraId="7912DBA1" w14:textId="081FDEAA" w:rsidR="009847B9" w:rsidRDefault="009847B9" w:rsidP="009847B9">
      <w:pPr>
        <w:pStyle w:val="ListParagraph"/>
        <w:numPr>
          <w:ilvl w:val="0"/>
          <w:numId w:val="18"/>
        </w:numPr>
        <w:jc w:val="both"/>
      </w:pPr>
      <w:r>
        <w:t>Here UE make</w:t>
      </w:r>
      <w:r w:rsidR="00A07C0B">
        <w:t>s</w:t>
      </w:r>
      <w:r>
        <w:t xml:space="preserve"> use of stored configuration if it receives delta configuration. </w:t>
      </w:r>
    </w:p>
    <w:p w14:paraId="63809D08" w14:textId="73735CB5" w:rsidR="009847B9" w:rsidRDefault="009847B9" w:rsidP="009847B9">
      <w:pPr>
        <w:pStyle w:val="ListParagraph"/>
        <w:numPr>
          <w:ilvl w:val="0"/>
          <w:numId w:val="18"/>
        </w:numPr>
        <w:jc w:val="both"/>
      </w:pPr>
      <w:r>
        <w:t xml:space="preserve">After successful Reconfiguration, </w:t>
      </w:r>
      <w:r w:rsidR="00A07C0B">
        <w:t>d</w:t>
      </w:r>
      <w:r>
        <w:t>ata transmission resumes.</w:t>
      </w:r>
    </w:p>
    <w:p w14:paraId="58152B53" w14:textId="3969F45A" w:rsidR="009847B9" w:rsidRDefault="009847B9" w:rsidP="009847B9">
      <w:pPr>
        <w:jc w:val="both"/>
      </w:pPr>
      <w:r>
        <w:lastRenderedPageBreak/>
        <w:t xml:space="preserve">The re-establishment procedure for reconfiguration failure will lead to significant interruption time to resume the services and also long signalling procedure is required for the UE to resume the services. </w:t>
      </w:r>
      <w:r w:rsidR="009F6C36">
        <w:t>In the case of LTM, the target cells are already prepared for switching, the UE need</w:t>
      </w:r>
      <w:r w:rsidR="00020CC7">
        <w:t>s</w:t>
      </w:r>
      <w:r w:rsidR="009F6C36">
        <w:t xml:space="preserve"> not</w:t>
      </w:r>
      <w:r w:rsidR="007E3E72">
        <w:t xml:space="preserve"> to</w:t>
      </w:r>
      <w:r w:rsidR="009F6C36">
        <w:t xml:space="preserve"> follow the normal re-establishment procedure steps for reconfiguration failure for LTM.</w:t>
      </w:r>
    </w:p>
    <w:p w14:paraId="3FA0E05E" w14:textId="7C953CF5" w:rsidR="0022006A" w:rsidRDefault="0022006A" w:rsidP="0022006A">
      <w:pPr>
        <w:jc w:val="both"/>
        <w:rPr>
          <w:rFonts w:cs="Arial"/>
        </w:rPr>
      </w:pPr>
      <w:r>
        <w:rPr>
          <w:rFonts w:cs="Arial"/>
          <w:b/>
          <w:bCs/>
        </w:rPr>
        <w:t xml:space="preserve">Observation </w:t>
      </w:r>
      <w:r w:rsidR="007E3E72">
        <w:rPr>
          <w:rFonts w:cs="Arial"/>
          <w:b/>
          <w:bCs/>
        </w:rPr>
        <w:t>3</w:t>
      </w:r>
      <w:r>
        <w:rPr>
          <w:rFonts w:cs="Arial"/>
          <w:b/>
          <w:bCs/>
        </w:rPr>
        <w:t>:</w:t>
      </w:r>
      <w:r>
        <w:rPr>
          <w:rFonts w:cs="Arial"/>
        </w:rPr>
        <w:t xml:space="preserve"> LTM is introduced for delay sensitive services, targeting interruption service reduction. Thus following the classic </w:t>
      </w:r>
      <w:r w:rsidR="007E3E72">
        <w:rPr>
          <w:rFonts w:cs="Arial"/>
        </w:rPr>
        <w:t>reestablishment</w:t>
      </w:r>
      <w:r>
        <w:rPr>
          <w:rFonts w:cs="Arial"/>
        </w:rPr>
        <w:t xml:space="preserve"> mechanism which requires multiple signalling procedures and processing steps at UE is not preferable.</w:t>
      </w:r>
    </w:p>
    <w:p w14:paraId="692238EB" w14:textId="77777777" w:rsidR="009847B9" w:rsidRDefault="009847B9" w:rsidP="009847B9">
      <w:pPr>
        <w:ind w:left="360"/>
        <w:jc w:val="center"/>
        <w:rPr>
          <w:rFonts w:cs="Arial"/>
        </w:rPr>
      </w:pPr>
      <w:r>
        <w:rPr>
          <w:noProof/>
        </w:rPr>
        <w:drawing>
          <wp:inline distT="0" distB="0" distL="0" distR="0" wp14:anchorId="3B010C55" wp14:editId="3242FA83">
            <wp:extent cx="5622925" cy="361696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22925" cy="3616960"/>
                    </a:xfrm>
                    <a:prstGeom prst="rect">
                      <a:avLst/>
                    </a:prstGeom>
                    <a:noFill/>
                    <a:ln>
                      <a:noFill/>
                    </a:ln>
                  </pic:spPr>
                </pic:pic>
              </a:graphicData>
            </a:graphic>
          </wp:inline>
        </w:drawing>
      </w:r>
    </w:p>
    <w:p w14:paraId="60EE8F6C" w14:textId="251F041F" w:rsidR="009847B9" w:rsidRDefault="009847B9" w:rsidP="009847B9">
      <w:pPr>
        <w:ind w:left="360"/>
        <w:jc w:val="center"/>
      </w:pPr>
      <w:r>
        <w:rPr>
          <w:rFonts w:cs="Arial"/>
        </w:rPr>
        <w:t xml:space="preserve">Figure </w:t>
      </w:r>
      <w:r w:rsidR="00AF0A59">
        <w:rPr>
          <w:rFonts w:cs="Arial"/>
        </w:rPr>
        <w:t>1</w:t>
      </w:r>
      <w:r>
        <w:rPr>
          <w:rFonts w:cs="Arial"/>
        </w:rPr>
        <w:t xml:space="preserve">: </w:t>
      </w:r>
      <w:r>
        <w:t>Further Insights on the Re-establishment procedure and rationale for current behaviour</w:t>
      </w:r>
    </w:p>
    <w:p w14:paraId="338B81A6" w14:textId="50B635FF" w:rsidR="00734193" w:rsidRDefault="00734193" w:rsidP="00734193">
      <w:pPr>
        <w:spacing w:after="120"/>
        <w:jc w:val="both"/>
      </w:pPr>
      <w:r w:rsidRPr="009E445E">
        <w:t xml:space="preserve">Figure </w:t>
      </w:r>
      <w:r w:rsidR="00196F35">
        <w:t>2</w:t>
      </w:r>
      <w:r w:rsidRPr="009E445E">
        <w:t xml:space="preserve"> provides the components of mobility latency as captured in</w:t>
      </w:r>
      <w:r w:rsidR="00196F35">
        <w:t xml:space="preserve"> [</w:t>
      </w:r>
      <w:r w:rsidR="00C02210">
        <w:t>2</w:t>
      </w:r>
      <w:r w:rsidR="00196F35">
        <w:t>]</w:t>
      </w:r>
      <w:r w:rsidRPr="009E445E">
        <w:t>. In this, T</w:t>
      </w:r>
      <w:r w:rsidRPr="009E445E">
        <w:rPr>
          <w:vertAlign w:val="subscript"/>
        </w:rPr>
        <w:t xml:space="preserve">processing,1 </w:t>
      </w:r>
      <w:r w:rsidRPr="009E445E">
        <w:t>/T</w:t>
      </w:r>
      <w:r w:rsidRPr="009E445E">
        <w:rPr>
          <w:vertAlign w:val="subscript"/>
        </w:rPr>
        <w:t>processing,</w:t>
      </w:r>
      <w:proofErr w:type="gramStart"/>
      <w:r w:rsidRPr="009E445E">
        <w:rPr>
          <w:vertAlign w:val="subscript"/>
        </w:rPr>
        <w:t xml:space="preserve">2  </w:t>
      </w:r>
      <w:r w:rsidRPr="009E445E">
        <w:t>are</w:t>
      </w:r>
      <w:proofErr w:type="gramEnd"/>
      <w:r w:rsidRPr="009E445E">
        <w:t xml:space="preserve"> </w:t>
      </w:r>
      <w:r w:rsidR="00581422" w:rsidRPr="00581422">
        <w:rPr>
          <w:i/>
          <w:iCs/>
        </w:rPr>
        <w:t>“t</w:t>
      </w:r>
      <w:r w:rsidR="009E445E" w:rsidRPr="00581422">
        <w:rPr>
          <w:i/>
          <w:iCs/>
        </w:rPr>
        <w:t>ime for UE processing, before and after cell switch command, respectively. This may include L2/3 reconfiguration, RF retuning, baseband retuning, security update if needed, etc.</w:t>
      </w:r>
      <w:r w:rsidR="00581422" w:rsidRPr="00581422">
        <w:rPr>
          <w:i/>
          <w:iCs/>
        </w:rPr>
        <w:t>”</w:t>
      </w:r>
      <w:r w:rsidR="00581422">
        <w:t xml:space="preserve">. Since we assume that the UE will perform processing before the cell switch command the UE can </w:t>
      </w:r>
      <w:r w:rsidR="00581422" w:rsidRPr="00581422">
        <w:t xml:space="preserve">validate </w:t>
      </w:r>
      <w:r w:rsidR="00581422">
        <w:t xml:space="preserve">the </w:t>
      </w:r>
      <w:r w:rsidR="0020433E">
        <w:t>suitability</w:t>
      </w:r>
      <w:r w:rsidR="00581422">
        <w:t xml:space="preserve"> of the configuration</w:t>
      </w:r>
      <w:r w:rsidR="00581422" w:rsidRPr="00581422">
        <w:t xml:space="preserve"> for the current state of the device </w:t>
      </w:r>
      <w:r w:rsidR="0020433E">
        <w:t>and if not inform the network about a possible unsuitable configuration. In case the UE fails to apply the configuration upon the reception of the cell switch command it still may recover to the serving cell, where the configuration is valid.</w:t>
      </w:r>
    </w:p>
    <w:p w14:paraId="09F97A9A" w14:textId="77777777" w:rsidR="00734193" w:rsidRDefault="00734193" w:rsidP="0020433E">
      <w:pPr>
        <w:spacing w:after="0"/>
        <w:jc w:val="center"/>
        <w:rPr>
          <w:rFonts w:eastAsia="PMingLiU"/>
          <w:lang w:eastAsia="zh-TW"/>
        </w:rPr>
      </w:pPr>
      <w:r>
        <w:rPr>
          <w:rFonts w:ascii="Arial" w:hAnsi="Arial" w:cs="Arial"/>
          <w:b/>
          <w:bCs/>
          <w:noProof/>
        </w:rPr>
        <w:drawing>
          <wp:inline distT="0" distB="0" distL="0" distR="0" wp14:anchorId="0C4C4D6B" wp14:editId="6642C8FA">
            <wp:extent cx="6120765" cy="1654569"/>
            <wp:effectExtent l="0" t="0" r="0" b="0"/>
            <wp:docPr id="4" name="Picture 4" descr="Timelin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imeline&#10;&#10;Description automatically generated with low confidence"/>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765" cy="1654569"/>
                    </a:xfrm>
                    <a:prstGeom prst="rect">
                      <a:avLst/>
                    </a:prstGeom>
                    <a:noFill/>
                  </pic:spPr>
                </pic:pic>
              </a:graphicData>
            </a:graphic>
          </wp:inline>
        </w:drawing>
      </w:r>
    </w:p>
    <w:p w14:paraId="42E10963" w14:textId="2C380E55" w:rsidR="00734193" w:rsidRPr="0020433E" w:rsidRDefault="00734193" w:rsidP="0020433E">
      <w:pPr>
        <w:pStyle w:val="TF"/>
        <w:rPr>
          <w:rFonts w:ascii="Times New Roman" w:hAnsi="Times New Roman"/>
          <w:b w:val="0"/>
        </w:rPr>
      </w:pPr>
      <w:r w:rsidRPr="0020433E">
        <w:rPr>
          <w:rFonts w:ascii="Times New Roman" w:hAnsi="Times New Roman"/>
          <w:b w:val="0"/>
        </w:rPr>
        <w:t xml:space="preserve">Figure </w:t>
      </w:r>
      <w:r w:rsidR="00196F35">
        <w:rPr>
          <w:rFonts w:ascii="Times New Roman" w:hAnsi="Times New Roman"/>
          <w:b w:val="0"/>
        </w:rPr>
        <w:t>2</w:t>
      </w:r>
      <w:r w:rsidRPr="0020433E">
        <w:rPr>
          <w:rFonts w:ascii="Times New Roman" w:hAnsi="Times New Roman"/>
          <w:b w:val="0"/>
        </w:rPr>
        <w:t>: Components of Mobility Latency</w:t>
      </w:r>
    </w:p>
    <w:p w14:paraId="3F53D23B" w14:textId="4068D2F8" w:rsidR="0022006A" w:rsidRDefault="0022006A" w:rsidP="0022006A">
      <w:pPr>
        <w:jc w:val="both"/>
        <w:rPr>
          <w:rFonts w:cs="Arial"/>
          <w:b/>
          <w:bCs/>
        </w:rPr>
      </w:pPr>
      <w:r>
        <w:rPr>
          <w:rFonts w:cs="Arial"/>
          <w:b/>
          <w:bCs/>
        </w:rPr>
        <w:t>Proposal</w:t>
      </w:r>
      <w:r w:rsidR="009847B9">
        <w:rPr>
          <w:rFonts w:cs="Arial"/>
          <w:b/>
          <w:bCs/>
        </w:rPr>
        <w:t xml:space="preserve"> </w:t>
      </w:r>
      <w:r w:rsidR="00196F35">
        <w:rPr>
          <w:rFonts w:cs="Arial"/>
          <w:b/>
          <w:bCs/>
        </w:rPr>
        <w:t>9</w:t>
      </w:r>
      <w:r w:rsidR="009847B9">
        <w:rPr>
          <w:rFonts w:cs="Arial"/>
          <w:b/>
          <w:bCs/>
        </w:rPr>
        <w:t>:</w:t>
      </w:r>
      <w:r w:rsidR="009847B9">
        <w:rPr>
          <w:rFonts w:cs="Arial"/>
        </w:rPr>
        <w:t xml:space="preserve"> Since the RRC Configurations are provided to the UE in advance, the </w:t>
      </w:r>
      <w:r w:rsidR="00242737">
        <w:rPr>
          <w:rFonts w:cs="Arial"/>
        </w:rPr>
        <w:t xml:space="preserve">UE </w:t>
      </w:r>
      <w:r w:rsidR="009847B9">
        <w:rPr>
          <w:rFonts w:cs="Arial"/>
        </w:rPr>
        <w:t xml:space="preserve">can perform a compatibility check in order to identify </w:t>
      </w:r>
      <w:r w:rsidR="0069249D">
        <w:rPr>
          <w:rFonts w:cs="Arial"/>
        </w:rPr>
        <w:t>invalid RRC configurations</w:t>
      </w:r>
      <w:r w:rsidR="009847B9">
        <w:rPr>
          <w:rFonts w:cs="Arial"/>
        </w:rPr>
        <w:t>.</w:t>
      </w:r>
      <w:r>
        <w:rPr>
          <w:rFonts w:cs="Arial"/>
        </w:rPr>
        <w:t xml:space="preserve"> FFS how to </w:t>
      </w:r>
      <w:r w:rsidR="0069249D">
        <w:rPr>
          <w:rFonts w:cs="Arial"/>
        </w:rPr>
        <w:t>inform the network about the invalid configurations</w:t>
      </w:r>
      <w:r>
        <w:rPr>
          <w:rFonts w:cs="Arial"/>
        </w:rPr>
        <w:t>.</w:t>
      </w:r>
      <w:r w:rsidRPr="0022006A">
        <w:rPr>
          <w:rFonts w:cs="Arial"/>
          <w:b/>
          <w:bCs/>
        </w:rPr>
        <w:t xml:space="preserve"> </w:t>
      </w:r>
    </w:p>
    <w:p w14:paraId="5C47BD18" w14:textId="4FEE4472" w:rsidR="0069249D" w:rsidRDefault="0069249D" w:rsidP="0022006A">
      <w:pPr>
        <w:jc w:val="both"/>
        <w:rPr>
          <w:rFonts w:cs="Arial"/>
          <w:b/>
          <w:bCs/>
        </w:rPr>
      </w:pPr>
      <w:r>
        <w:rPr>
          <w:rFonts w:cs="Arial"/>
          <w:b/>
          <w:bCs/>
        </w:rPr>
        <w:t xml:space="preserve">Proposal 10: </w:t>
      </w:r>
      <w:r w:rsidRPr="00195427">
        <w:rPr>
          <w:rFonts w:cs="Arial"/>
        </w:rPr>
        <w:t xml:space="preserve">If the </w:t>
      </w:r>
      <w:r>
        <w:rPr>
          <w:rFonts w:cs="Arial"/>
        </w:rPr>
        <w:t xml:space="preserve">RRC Configuration that the </w:t>
      </w:r>
      <w:r w:rsidRPr="00195427">
        <w:rPr>
          <w:rFonts w:cs="Arial"/>
        </w:rPr>
        <w:t xml:space="preserve">UE </w:t>
      </w:r>
      <w:r>
        <w:rPr>
          <w:rFonts w:cs="Arial"/>
        </w:rPr>
        <w:t>applies during the cell change is invalid the UE can recover to the source cell by applying the source cell configuration.</w:t>
      </w:r>
    </w:p>
    <w:p w14:paraId="41106953" w14:textId="4CA2866E" w:rsidR="00C609EC" w:rsidRDefault="00C609EC" w:rsidP="00C609EC">
      <w:pPr>
        <w:pStyle w:val="Heading2"/>
      </w:pPr>
      <w:r w:rsidRPr="00F1499F">
        <w:lastRenderedPageBreak/>
        <w:t>2.</w:t>
      </w:r>
      <w:r w:rsidR="00FD4637">
        <w:t>4</w:t>
      </w:r>
      <w:r w:rsidRPr="00F1499F">
        <w:t xml:space="preserve"> </w:t>
      </w:r>
      <w:r>
        <w:tab/>
      </w:r>
      <w:r w:rsidRPr="00F1499F">
        <w:t>Other Topics</w:t>
      </w:r>
    </w:p>
    <w:p w14:paraId="286549EC" w14:textId="400D13A9" w:rsidR="0019661A" w:rsidRDefault="0019661A" w:rsidP="00C609EC">
      <w:pPr>
        <w:pStyle w:val="Heading3"/>
      </w:pPr>
      <w:r>
        <w:t>2.</w:t>
      </w:r>
      <w:r w:rsidR="00FD4637">
        <w:t>4</w:t>
      </w:r>
      <w:r>
        <w:t>.1</w:t>
      </w:r>
      <w:r>
        <w:tab/>
      </w:r>
      <w:r w:rsidR="00226257">
        <w:t xml:space="preserve">Radio Link and Handover </w:t>
      </w:r>
      <w:r>
        <w:t>Failure handling</w:t>
      </w:r>
    </w:p>
    <w:p w14:paraId="34A5D6F3" w14:textId="1BEE9BDE" w:rsidR="00D40C41" w:rsidRDefault="00D40C41" w:rsidP="00D40C41">
      <w:pPr>
        <w:jc w:val="both"/>
      </w:pPr>
      <w:r w:rsidRPr="008620BF">
        <w:t>Failures</w:t>
      </w:r>
      <w:r>
        <w:t xml:space="preserve"> may occur in L</w:t>
      </w:r>
      <w:r w:rsidR="00511DE1">
        <w:t>T</w:t>
      </w:r>
      <w:r>
        <w:t xml:space="preserve">M due to various reasons, e.g., RLFs, and HOFs due to radio conditions which may cause loss of certain messages. If a failure occurs, and under the assumption that the same paradigm is followed as in Baseline HO, the UE will have to perform re-establishment including </w:t>
      </w:r>
      <w:r w:rsidRPr="009375B1">
        <w:t xml:space="preserve">cell reselection </w:t>
      </w:r>
      <w:r>
        <w:t xml:space="preserve">and decoding system information </w:t>
      </w:r>
      <w:r w:rsidRPr="009375B1">
        <w:t xml:space="preserve">in order to identify the proper cell to </w:t>
      </w:r>
      <w:r>
        <w:t>re-establish</w:t>
      </w:r>
      <w:r w:rsidRPr="009375B1">
        <w:t xml:space="preserve"> to.</w:t>
      </w:r>
      <w:r>
        <w:t xml:space="preserve"> This will increase the interruption time and </w:t>
      </w:r>
      <w:proofErr w:type="spellStart"/>
      <w:r>
        <w:t>signaling</w:t>
      </w:r>
      <w:proofErr w:type="spellEnd"/>
      <w:r>
        <w:t xml:space="preserve"> overhead, even though the UE may have already</w:t>
      </w:r>
      <w:r w:rsidRPr="000F42B1">
        <w:t xml:space="preserve"> the configurations of cells that it could recover</w:t>
      </w:r>
      <w:r>
        <w:t xml:space="preserve"> to. On the other hand, the RRC Configuration of the prepared cells is already available in the UE and the </w:t>
      </w:r>
      <w:r w:rsidR="00C23EB2">
        <w:t>UE</w:t>
      </w:r>
      <w:r w:rsidR="00AA057F">
        <w:t xml:space="preserve"> </w:t>
      </w:r>
      <w:r>
        <w:t xml:space="preserve">can take advantage of this to reduce the interruption time of the re-establishment of the connection. </w:t>
      </w:r>
    </w:p>
    <w:p w14:paraId="5933F707" w14:textId="7D8A8FF1" w:rsidR="00D40C41" w:rsidRPr="007242B2" w:rsidRDefault="00D40C41" w:rsidP="00D40C41">
      <w:pPr>
        <w:jc w:val="both"/>
      </w:pPr>
      <w:r w:rsidRPr="00595610">
        <w:rPr>
          <w:b/>
        </w:rPr>
        <w:t xml:space="preserve">Proposal </w:t>
      </w:r>
      <w:r w:rsidR="00195427">
        <w:rPr>
          <w:b/>
        </w:rPr>
        <w:t>11</w:t>
      </w:r>
      <w:r w:rsidRPr="00595610">
        <w:rPr>
          <w:b/>
        </w:rPr>
        <w:t>:</w:t>
      </w:r>
      <w:r>
        <w:t xml:space="preserve"> Investigate for L</w:t>
      </w:r>
      <w:r w:rsidR="00511DE1">
        <w:t>T</w:t>
      </w:r>
      <w:r>
        <w:t>M how the early provision of RRC configurations to the UE can enable the reduction of the interruption time caused by re-establishment procedure in case of failures.</w:t>
      </w:r>
    </w:p>
    <w:p w14:paraId="41C8CEF0" w14:textId="25F5971C" w:rsidR="00511DE1" w:rsidRDefault="00D40C41" w:rsidP="00D40C41">
      <w:r>
        <w:t>For example</w:t>
      </w:r>
      <w:r w:rsidR="00511DE1">
        <w:t>,</w:t>
      </w:r>
      <w:r>
        <w:t xml:space="preserve"> if the UE </w:t>
      </w:r>
      <w:r w:rsidR="00511DE1">
        <w:t>upon an RLF or a HOF the UE may apply it in order to reduce the interruption time, similar to Conditional Handover Recovery.</w:t>
      </w:r>
    </w:p>
    <w:p w14:paraId="4023B364" w14:textId="47C1122D" w:rsidR="00D40C41" w:rsidRPr="00511DE1" w:rsidRDefault="00511DE1" w:rsidP="00511DE1">
      <w:pPr>
        <w:jc w:val="both"/>
        <w:rPr>
          <w:b/>
        </w:rPr>
      </w:pPr>
      <w:r w:rsidRPr="00511DE1">
        <w:rPr>
          <w:b/>
        </w:rPr>
        <w:t xml:space="preserve">Proposal </w:t>
      </w:r>
      <w:r w:rsidR="00195427">
        <w:rPr>
          <w:b/>
        </w:rPr>
        <w:t>12</w:t>
      </w:r>
      <w:r>
        <w:rPr>
          <w:b/>
        </w:rPr>
        <w:t xml:space="preserve">: </w:t>
      </w:r>
      <w:r w:rsidRPr="00511DE1">
        <w:rPr>
          <w:bCs/>
        </w:rPr>
        <w:t xml:space="preserve">Investigate </w:t>
      </w:r>
      <w:r>
        <w:rPr>
          <w:bCs/>
        </w:rPr>
        <w:t xml:space="preserve">in which cases and how the UE can apply the prepared cells configurations to </w:t>
      </w:r>
      <w:r>
        <w:t>reduce the interruption time caused by re-establishment procedure in case of failures.</w:t>
      </w:r>
    </w:p>
    <w:p w14:paraId="730C3E8D" w14:textId="37CB6AF6" w:rsidR="00C609EC" w:rsidRPr="00F1499F" w:rsidRDefault="00C609EC" w:rsidP="00C609EC">
      <w:pPr>
        <w:pStyle w:val="Heading3"/>
      </w:pPr>
      <w:r>
        <w:t>2.</w:t>
      </w:r>
      <w:r w:rsidR="00FD4637">
        <w:t>4</w:t>
      </w:r>
      <w:r>
        <w:t>.</w:t>
      </w:r>
      <w:r w:rsidR="00226257">
        <w:t>2</w:t>
      </w:r>
      <w:r w:rsidR="003E4D69">
        <w:tab/>
      </w:r>
      <w:r>
        <w:t>Inter-working of L3 and L1 Mobility</w:t>
      </w:r>
    </w:p>
    <w:p w14:paraId="667C21E4" w14:textId="495706B8" w:rsidR="003038BF" w:rsidRDefault="003038BF" w:rsidP="003038BF">
      <w:pPr>
        <w:jc w:val="both"/>
        <w:rPr>
          <w:rFonts w:ascii="Arial" w:hAnsi="Arial"/>
          <w:sz w:val="28"/>
        </w:rPr>
      </w:pPr>
      <w:r>
        <w:t xml:space="preserve">LTM is configured with target cells where the cell switching from lower layer is needed and can be supported. From network perspective the lower layer mobility is triggered from DU based on L1 measurement report. It is also possible to configure L3 mobility for the same UE for different target cells; L3 mobility can also be triggered to different target cells when LTM is already configured. L3 mobility is needed for inter CU scenarios, or for cases LTM is not supported. In these cases network implementation can choose to disable the LTM triggering at DU before triggering the handover procedure. But if the lower layer mobility was triggered already towards UE, the CU may wait for completion of the execution to start the L3 mobility. In this case, handover procedure is delayed until LTM execution.  If the CU triggers L3 based mobility in agnostic way to LTM, there is possibility for configuration mismatch between the UE and network for handover execution due to race condition between these two mobility procedures. </w:t>
      </w:r>
    </w:p>
    <w:p w14:paraId="5AC027A1" w14:textId="2997CAA5" w:rsidR="00F8422F" w:rsidRPr="00E46A44" w:rsidRDefault="003038BF" w:rsidP="00E46A44">
      <w:pPr>
        <w:jc w:val="both"/>
        <w:rPr>
          <w:rFonts w:ascii="Arial" w:hAnsi="Arial"/>
          <w:sz w:val="32"/>
        </w:rPr>
      </w:pPr>
      <w:r w:rsidRPr="00595610">
        <w:rPr>
          <w:b/>
        </w:rPr>
        <w:t>Proposa</w:t>
      </w:r>
      <w:r>
        <w:rPr>
          <w:b/>
        </w:rPr>
        <w:t xml:space="preserve">l </w:t>
      </w:r>
      <w:r w:rsidR="00195427">
        <w:rPr>
          <w:b/>
        </w:rPr>
        <w:t>13</w:t>
      </w:r>
      <w:r w:rsidRPr="00595610">
        <w:rPr>
          <w:b/>
        </w:rPr>
        <w:t>:</w:t>
      </w:r>
      <w:r>
        <w:t xml:space="preserve"> L3 based mobility is not prohibited </w:t>
      </w:r>
      <w:r w:rsidR="00A76D7A">
        <w:t xml:space="preserve">after </w:t>
      </w:r>
      <w:r>
        <w:t>L</w:t>
      </w:r>
      <w:r w:rsidR="00A76D7A">
        <w:t>TM was configured</w:t>
      </w:r>
      <w:r>
        <w:t xml:space="preserve">. FFS </w:t>
      </w:r>
      <w:r w:rsidR="00A76D7A">
        <w:t>what</w:t>
      </w:r>
      <w:r>
        <w:t xml:space="preserve"> additional coordination needed for the interworking.</w:t>
      </w:r>
    </w:p>
    <w:p w14:paraId="69B7B8E6" w14:textId="69E07FC9" w:rsidR="009339CB" w:rsidRPr="006E13D1" w:rsidRDefault="005A13AB" w:rsidP="009339CB">
      <w:pPr>
        <w:pStyle w:val="Heading1"/>
      </w:pPr>
      <w:r>
        <w:t>3</w:t>
      </w:r>
      <w:r w:rsidR="009339CB" w:rsidRPr="006E13D1">
        <w:tab/>
      </w:r>
      <w:r w:rsidR="009339CB">
        <w:t>Conclusion</w:t>
      </w:r>
    </w:p>
    <w:p w14:paraId="651971BC" w14:textId="25B0E9D0" w:rsidR="00FD4637" w:rsidRDefault="00FD4637" w:rsidP="009339CB">
      <w:r w:rsidRPr="00226257">
        <w:t>The following observations and proposals have been made in this paper:</w:t>
      </w:r>
    </w:p>
    <w:p w14:paraId="54501217" w14:textId="77777777" w:rsidR="00195427" w:rsidRPr="00FA3194" w:rsidRDefault="00195427" w:rsidP="00195427">
      <w:pPr>
        <w:jc w:val="both"/>
        <w:rPr>
          <w:b/>
          <w:lang w:val="en-US"/>
        </w:rPr>
      </w:pPr>
      <w:r w:rsidRPr="00265C83">
        <w:rPr>
          <w:b/>
          <w:bCs/>
          <w:lang w:val="en-US"/>
        </w:rPr>
        <w:t>Observation</w:t>
      </w:r>
      <w:r>
        <w:rPr>
          <w:b/>
          <w:bCs/>
          <w:lang w:val="en-US"/>
        </w:rPr>
        <w:t xml:space="preserve"> 1</w:t>
      </w:r>
      <w:r w:rsidRPr="00FA3194">
        <w:rPr>
          <w:b/>
          <w:lang w:val="en-US"/>
        </w:rPr>
        <w:t xml:space="preserve">: </w:t>
      </w:r>
      <w:r>
        <w:rPr>
          <w:lang w:val="en-US"/>
        </w:rPr>
        <w:t>If the L1-RSRP reporting format is used for LTM, the PCI association needs to be given in the resource configuration (directly or indirectly).</w:t>
      </w:r>
    </w:p>
    <w:p w14:paraId="3D22C6A7" w14:textId="77777777" w:rsidR="00252AB6" w:rsidRDefault="00252AB6" w:rsidP="00252AB6">
      <w:pPr>
        <w:jc w:val="both"/>
        <w:rPr>
          <w:lang w:val="en-US"/>
        </w:rPr>
      </w:pPr>
      <w:r w:rsidRPr="00265C83">
        <w:rPr>
          <w:b/>
          <w:bCs/>
          <w:lang w:val="en-US"/>
        </w:rPr>
        <w:t>Observation</w:t>
      </w:r>
      <w:r>
        <w:rPr>
          <w:b/>
          <w:bCs/>
          <w:lang w:val="en-US"/>
        </w:rPr>
        <w:t xml:space="preserve"> 2</w:t>
      </w:r>
      <w:r w:rsidRPr="00FA3194">
        <w:rPr>
          <w:b/>
          <w:lang w:val="en-US"/>
        </w:rPr>
        <w:t xml:space="preserve">: </w:t>
      </w:r>
      <w:r>
        <w:rPr>
          <w:lang w:val="en-US"/>
        </w:rPr>
        <w:t>If the UE can be configured to report DL RS that are not explicitly configured (similar to how SSB indices are measured and reported for L3 measurement), the L1 reporting format would need to include PCI(s) to associate the reported RS(s)</w:t>
      </w:r>
    </w:p>
    <w:p w14:paraId="09B931A7" w14:textId="093F143E" w:rsidR="00195427" w:rsidRDefault="00195427" w:rsidP="00195427">
      <w:pPr>
        <w:jc w:val="both"/>
        <w:rPr>
          <w:rFonts w:cs="Arial"/>
        </w:rPr>
      </w:pPr>
      <w:r>
        <w:rPr>
          <w:rFonts w:cs="Arial"/>
          <w:b/>
          <w:bCs/>
        </w:rPr>
        <w:t>Observation 3:</w:t>
      </w:r>
      <w:r>
        <w:rPr>
          <w:rFonts w:cs="Arial"/>
        </w:rPr>
        <w:t xml:space="preserve"> LTM is introduced for delay sensitive services, targeting interruption service reduction. Thus following the classic reestablishment mechanism which requires multiple signalling procedures and processing steps at UE is not preferable.</w:t>
      </w:r>
    </w:p>
    <w:p w14:paraId="41D82E72" w14:textId="77777777" w:rsidR="00195427" w:rsidRPr="005E53E8" w:rsidRDefault="00195427" w:rsidP="00195427">
      <w:pPr>
        <w:jc w:val="both"/>
      </w:pPr>
      <w:r w:rsidRPr="00F23344">
        <w:rPr>
          <w:b/>
          <w:bCs/>
        </w:rPr>
        <w:t xml:space="preserve">Proposal </w:t>
      </w:r>
      <w:r>
        <w:rPr>
          <w:b/>
          <w:bCs/>
        </w:rPr>
        <w:t>1</w:t>
      </w:r>
      <w:r>
        <w:t>: Similar to CHO, the CU can prepare up to 8 cells for LTM.</w:t>
      </w:r>
    </w:p>
    <w:p w14:paraId="1D7AA22F" w14:textId="77777777" w:rsidR="00195427" w:rsidRDefault="00195427" w:rsidP="00195427">
      <w:pPr>
        <w:jc w:val="both"/>
      </w:pPr>
      <w:r w:rsidRPr="00F23344">
        <w:rPr>
          <w:b/>
          <w:bCs/>
        </w:rPr>
        <w:t xml:space="preserve">Proposal </w:t>
      </w:r>
      <w:r>
        <w:rPr>
          <w:b/>
          <w:bCs/>
        </w:rPr>
        <w:t>2</w:t>
      </w:r>
      <w:r>
        <w:t>: CU provides the UE with the CSI measurement configuration for reporting the L1 beam measurements for prepared target cells along with serving cell.</w:t>
      </w:r>
    </w:p>
    <w:p w14:paraId="04ACA597" w14:textId="77777777" w:rsidR="00195427" w:rsidRDefault="00195427" w:rsidP="00195427">
      <w:pPr>
        <w:jc w:val="both"/>
      </w:pPr>
      <w:r w:rsidRPr="00F23344">
        <w:rPr>
          <w:b/>
          <w:bCs/>
        </w:rPr>
        <w:t xml:space="preserve">Proposal </w:t>
      </w:r>
      <w:r>
        <w:rPr>
          <w:b/>
          <w:bCs/>
        </w:rPr>
        <w:t>3</w:t>
      </w:r>
      <w:r>
        <w:t>: RAN2 to decide on whether the CSI measurement configuration needs to explicitly define the RS indices that shall be measured for the serving and prepared target cells in LTM.</w:t>
      </w:r>
    </w:p>
    <w:p w14:paraId="6E595464" w14:textId="77777777" w:rsidR="00195427" w:rsidRDefault="00195427" w:rsidP="00195427">
      <w:pPr>
        <w:jc w:val="both"/>
      </w:pPr>
      <w:r w:rsidRPr="00F23344">
        <w:rPr>
          <w:b/>
          <w:bCs/>
        </w:rPr>
        <w:t xml:space="preserve">Proposal </w:t>
      </w:r>
      <w:r>
        <w:rPr>
          <w:b/>
          <w:bCs/>
        </w:rPr>
        <w:t>4</w:t>
      </w:r>
      <w:r>
        <w:t>: Serving DU decides on the CSI measurement configuration for LTM which is provided to the UE via the CU.</w:t>
      </w:r>
    </w:p>
    <w:p w14:paraId="7407658E" w14:textId="77777777" w:rsidR="00195427" w:rsidRDefault="00195427" w:rsidP="00195427">
      <w:pPr>
        <w:jc w:val="both"/>
      </w:pPr>
      <w:r w:rsidRPr="009531CD">
        <w:rPr>
          <w:b/>
          <w:bCs/>
        </w:rPr>
        <w:lastRenderedPageBreak/>
        <w:t xml:space="preserve">Proposal </w:t>
      </w:r>
      <w:r>
        <w:rPr>
          <w:b/>
          <w:bCs/>
        </w:rPr>
        <w:t>5</w:t>
      </w:r>
      <w:r w:rsidRPr="009531CD">
        <w:rPr>
          <w:b/>
          <w:bCs/>
        </w:rPr>
        <w:t>:</w:t>
      </w:r>
      <w:r>
        <w:t xml:space="preserve"> The CSI measurement configuration for LTM shall ensure that the UE measures and reports measurements for same reference signal type (SSB or CSI-RS) for both serving and prepared target cells.</w:t>
      </w:r>
    </w:p>
    <w:p w14:paraId="0A9FDBC1" w14:textId="4D5D1678" w:rsidR="00195427" w:rsidRPr="00F9518B" w:rsidRDefault="00195427" w:rsidP="00195427">
      <w:pPr>
        <w:jc w:val="both"/>
      </w:pPr>
      <w:r w:rsidRPr="00AB7C28">
        <w:rPr>
          <w:b/>
          <w:bCs/>
        </w:rPr>
        <w:t>Proposal</w:t>
      </w:r>
      <w:r>
        <w:rPr>
          <w:b/>
          <w:bCs/>
        </w:rPr>
        <w:t xml:space="preserve"> 6</w:t>
      </w:r>
      <w:r w:rsidRPr="00F9518B">
        <w:rPr>
          <w:b/>
          <w:bCs/>
        </w:rPr>
        <w:t xml:space="preserve">: </w:t>
      </w:r>
      <w:r>
        <w:t>T</w:t>
      </w:r>
      <w:r w:rsidRPr="002E7626">
        <w:t>he maximum number of reported RS in a single reporting instance is 4</w:t>
      </w:r>
      <w:r>
        <w:t xml:space="preserve"> and the </w:t>
      </w:r>
      <w:r w:rsidRPr="00FA3194">
        <w:t>same principle of QCL chain for associating signals with specific PCI for L1 measurements and reporting</w:t>
      </w:r>
      <w:r w:rsidRPr="002E7626">
        <w:t>.</w:t>
      </w:r>
    </w:p>
    <w:p w14:paraId="65BE032B" w14:textId="77777777" w:rsidR="00195427" w:rsidRPr="00FA3194" w:rsidRDefault="00195427" w:rsidP="00195427">
      <w:pPr>
        <w:jc w:val="both"/>
      </w:pPr>
      <w:r w:rsidRPr="00642C04">
        <w:rPr>
          <w:b/>
          <w:bCs/>
        </w:rPr>
        <w:t>Proposal</w:t>
      </w:r>
      <w:r>
        <w:rPr>
          <w:b/>
          <w:bCs/>
        </w:rPr>
        <w:t xml:space="preserve"> 7</w:t>
      </w:r>
      <w:r w:rsidRPr="00FA3194">
        <w:t xml:space="preserve">: Support all the CSI reporting time types for </w:t>
      </w:r>
      <w:r>
        <w:t>LTM</w:t>
      </w:r>
      <w:r w:rsidRPr="00FA3194">
        <w:t>: aperiodic, semi-persistent, periodic.</w:t>
      </w:r>
    </w:p>
    <w:p w14:paraId="0B00A52D" w14:textId="77777777" w:rsidR="00195427" w:rsidRPr="00DA2A2D" w:rsidDel="000E60F6" w:rsidRDefault="00195427" w:rsidP="00195427">
      <w:pPr>
        <w:jc w:val="both"/>
        <w:rPr>
          <w:b/>
          <w:lang w:val="en-US"/>
        </w:rPr>
      </w:pPr>
      <w:r w:rsidRPr="002C7982">
        <w:rPr>
          <w:b/>
          <w:bCs/>
          <w:lang w:val="en-US"/>
        </w:rPr>
        <w:t>Proposal</w:t>
      </w:r>
      <w:r>
        <w:rPr>
          <w:b/>
          <w:bCs/>
          <w:lang w:val="en-US"/>
        </w:rPr>
        <w:t xml:space="preserve"> 8</w:t>
      </w:r>
      <w:r w:rsidRPr="00B450DF">
        <w:rPr>
          <w:b/>
          <w:lang w:val="en-US"/>
        </w:rPr>
        <w:t xml:space="preserve">:  </w:t>
      </w:r>
      <w:r>
        <w:rPr>
          <w:lang w:val="en-US"/>
        </w:rPr>
        <w:t>Consider mechanisms to activate subset of configured reference signals or reporting configurations to be active for L1 reporting of</w:t>
      </w:r>
      <w:r w:rsidRPr="007A39DE">
        <w:rPr>
          <w:lang w:val="en-US"/>
        </w:rPr>
        <w:t xml:space="preserve"> </w:t>
      </w:r>
      <w:r>
        <w:rPr>
          <w:lang w:val="en-US"/>
        </w:rPr>
        <w:t>LTM cells.</w:t>
      </w:r>
    </w:p>
    <w:p w14:paraId="26D01192" w14:textId="77777777" w:rsidR="00195427" w:rsidRDefault="00195427" w:rsidP="00195427">
      <w:pPr>
        <w:jc w:val="both"/>
        <w:rPr>
          <w:rFonts w:cs="Arial"/>
          <w:b/>
          <w:bCs/>
        </w:rPr>
      </w:pPr>
      <w:r>
        <w:rPr>
          <w:rFonts w:cs="Arial"/>
          <w:b/>
          <w:bCs/>
        </w:rPr>
        <w:t>Proposal 9:</w:t>
      </w:r>
      <w:r>
        <w:rPr>
          <w:rFonts w:cs="Arial"/>
        </w:rPr>
        <w:t xml:space="preserve"> Since the RRC Configurations are provided to the UE in advance, the UE can perform a compatibility check in order to identify invalid RRC configurations. FFS how to inform the network about the invalid configurations.</w:t>
      </w:r>
      <w:r w:rsidRPr="0022006A">
        <w:rPr>
          <w:rFonts w:cs="Arial"/>
          <w:b/>
          <w:bCs/>
        </w:rPr>
        <w:t xml:space="preserve"> </w:t>
      </w:r>
    </w:p>
    <w:p w14:paraId="173ECB1C" w14:textId="77777777" w:rsidR="00195427" w:rsidRDefault="00195427" w:rsidP="00195427">
      <w:pPr>
        <w:jc w:val="both"/>
        <w:rPr>
          <w:rFonts w:cs="Arial"/>
          <w:b/>
          <w:bCs/>
        </w:rPr>
      </w:pPr>
      <w:r>
        <w:rPr>
          <w:rFonts w:cs="Arial"/>
          <w:b/>
          <w:bCs/>
        </w:rPr>
        <w:t xml:space="preserve">Proposal 10: </w:t>
      </w:r>
      <w:r w:rsidRPr="00195427">
        <w:rPr>
          <w:rFonts w:cs="Arial"/>
        </w:rPr>
        <w:t xml:space="preserve">If the </w:t>
      </w:r>
      <w:r>
        <w:rPr>
          <w:rFonts w:cs="Arial"/>
        </w:rPr>
        <w:t xml:space="preserve">RRC Configuration that the </w:t>
      </w:r>
      <w:r w:rsidRPr="00195427">
        <w:rPr>
          <w:rFonts w:cs="Arial"/>
        </w:rPr>
        <w:t xml:space="preserve">UE </w:t>
      </w:r>
      <w:r>
        <w:rPr>
          <w:rFonts w:cs="Arial"/>
        </w:rPr>
        <w:t>applies during the cell change is invalid the UE can recover to the source cell by applying the source cell configuration.</w:t>
      </w:r>
    </w:p>
    <w:p w14:paraId="0D5CB75F" w14:textId="3B70FC2C" w:rsidR="00195427" w:rsidRPr="007242B2" w:rsidRDefault="00195427" w:rsidP="00195427">
      <w:pPr>
        <w:jc w:val="both"/>
      </w:pPr>
      <w:r w:rsidRPr="00595610">
        <w:rPr>
          <w:b/>
        </w:rPr>
        <w:t xml:space="preserve">Proposal </w:t>
      </w:r>
      <w:r>
        <w:rPr>
          <w:b/>
        </w:rPr>
        <w:t>11</w:t>
      </w:r>
      <w:r w:rsidRPr="00595610">
        <w:rPr>
          <w:b/>
        </w:rPr>
        <w:t>:</w:t>
      </w:r>
      <w:r>
        <w:t xml:space="preserve"> Investigate for LTM how the early provision of RRC configurations to the UE can enable the reduction of the interruption time caused by re-establishment procedure in case of failures.</w:t>
      </w:r>
    </w:p>
    <w:p w14:paraId="6E14354D" w14:textId="359A67D7" w:rsidR="00195427" w:rsidRPr="00511DE1" w:rsidRDefault="00195427" w:rsidP="00195427">
      <w:pPr>
        <w:jc w:val="both"/>
        <w:rPr>
          <w:b/>
        </w:rPr>
      </w:pPr>
      <w:r w:rsidRPr="00511DE1">
        <w:rPr>
          <w:b/>
        </w:rPr>
        <w:t xml:space="preserve">Proposal </w:t>
      </w:r>
      <w:r>
        <w:rPr>
          <w:b/>
        </w:rPr>
        <w:t xml:space="preserve">12: </w:t>
      </w:r>
      <w:r w:rsidRPr="00511DE1">
        <w:rPr>
          <w:bCs/>
        </w:rPr>
        <w:t xml:space="preserve">Investigate </w:t>
      </w:r>
      <w:r>
        <w:rPr>
          <w:bCs/>
        </w:rPr>
        <w:t xml:space="preserve">in which cases and how the UE can apply the prepared cells configurations to </w:t>
      </w:r>
      <w:r>
        <w:t>reduce the interruption time caused by re-establishment procedure in case of failures.</w:t>
      </w:r>
    </w:p>
    <w:p w14:paraId="4D7329BC" w14:textId="350977C2" w:rsidR="00195427" w:rsidRPr="00F1499F" w:rsidRDefault="00195427" w:rsidP="00195427">
      <w:pPr>
        <w:jc w:val="both"/>
        <w:rPr>
          <w:rFonts w:ascii="Arial" w:hAnsi="Arial"/>
          <w:sz w:val="32"/>
        </w:rPr>
      </w:pPr>
      <w:r w:rsidRPr="00595610">
        <w:rPr>
          <w:b/>
        </w:rPr>
        <w:t>Proposa</w:t>
      </w:r>
      <w:r>
        <w:rPr>
          <w:b/>
        </w:rPr>
        <w:t>l 13</w:t>
      </w:r>
      <w:r w:rsidRPr="00595610">
        <w:rPr>
          <w:b/>
        </w:rPr>
        <w:t>:</w:t>
      </w:r>
      <w:r>
        <w:t xml:space="preserve"> L3 based mobility is not prohibited after LTM was configured. FFS what additional coordination needed for the interworking.</w:t>
      </w:r>
    </w:p>
    <w:p w14:paraId="79BB365E" w14:textId="77777777" w:rsidR="00C23EB2" w:rsidRDefault="00C23EB2" w:rsidP="009339CB">
      <w:pPr>
        <w:rPr>
          <w:highlight w:val="yellow"/>
        </w:rPr>
      </w:pPr>
    </w:p>
    <w:p w14:paraId="0D2A75A2" w14:textId="5FBC3397" w:rsidR="00103D80" w:rsidRPr="006E13D1" w:rsidRDefault="00103D80" w:rsidP="00103D80">
      <w:pPr>
        <w:pStyle w:val="Heading1"/>
      </w:pPr>
      <w:r>
        <w:t>4</w:t>
      </w:r>
      <w:r w:rsidRPr="006E13D1">
        <w:tab/>
      </w:r>
      <w:r>
        <w:t>References</w:t>
      </w:r>
    </w:p>
    <w:p w14:paraId="7FAF79D3" w14:textId="0223EDC8" w:rsidR="00C02210" w:rsidRDefault="00DC1D51" w:rsidP="00C02210">
      <w:r>
        <w:t>[1]</w:t>
      </w:r>
      <w:r w:rsidR="00196F35">
        <w:t xml:space="preserve"> </w:t>
      </w:r>
      <w:r w:rsidR="00C02210">
        <w:t>R2-2211101 RAN2#119bis-e Meeting Report</w:t>
      </w:r>
    </w:p>
    <w:p w14:paraId="259EEE34" w14:textId="0F9DAA72" w:rsidR="009339CB" w:rsidRPr="00CD4C7B" w:rsidRDefault="00C02210" w:rsidP="009339CB">
      <w:r>
        <w:t xml:space="preserve">[2] </w:t>
      </w:r>
      <w:r w:rsidR="00196F35">
        <w:t>R2-2209255</w:t>
      </w:r>
      <w:r>
        <w:t xml:space="preserve">, </w:t>
      </w:r>
      <w:r w:rsidRPr="00C02210">
        <w:t>38.300 Running CR for feMob.docx</w:t>
      </w:r>
    </w:p>
    <w:p w14:paraId="35F222F4" w14:textId="77777777" w:rsidR="00080512" w:rsidRPr="00A209D6" w:rsidRDefault="00080512" w:rsidP="009339CB"/>
    <w:sectPr w:rsidR="00080512" w:rsidRPr="00A209D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9290D0" w14:textId="77777777" w:rsidR="00A21934" w:rsidRDefault="00A21934">
      <w:r>
        <w:separator/>
      </w:r>
    </w:p>
  </w:endnote>
  <w:endnote w:type="continuationSeparator" w:id="0">
    <w:p w14:paraId="7EFEF050" w14:textId="77777777" w:rsidR="00A21934" w:rsidRDefault="00A21934">
      <w:r>
        <w:continuationSeparator/>
      </w:r>
    </w:p>
  </w:endnote>
  <w:endnote w:type="continuationNotice" w:id="1">
    <w:p w14:paraId="24F3E862" w14:textId="77777777" w:rsidR="00A21934" w:rsidRDefault="00A219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7C028B" w14:textId="77777777" w:rsidR="00A21934" w:rsidRDefault="00A21934">
      <w:r>
        <w:separator/>
      </w:r>
    </w:p>
  </w:footnote>
  <w:footnote w:type="continuationSeparator" w:id="0">
    <w:p w14:paraId="21D2D0F2" w14:textId="77777777" w:rsidR="00A21934" w:rsidRDefault="00A21934">
      <w:r>
        <w:continuationSeparator/>
      </w:r>
    </w:p>
  </w:footnote>
  <w:footnote w:type="continuationNotice" w:id="1">
    <w:p w14:paraId="2550FA39" w14:textId="77777777" w:rsidR="00A21934" w:rsidRDefault="00A219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245C1B"/>
    <w:multiLevelType w:val="hybridMultilevel"/>
    <w:tmpl w:val="A69C5C9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F8D197B"/>
    <w:multiLevelType w:val="hybridMultilevel"/>
    <w:tmpl w:val="F7F6343E"/>
    <w:lvl w:ilvl="0" w:tplc="821C0FFE">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3925E01"/>
    <w:multiLevelType w:val="hybridMultilevel"/>
    <w:tmpl w:val="1D62A356"/>
    <w:lvl w:ilvl="0" w:tplc="0407000F">
      <w:start w:val="1"/>
      <w:numFmt w:val="decimal"/>
      <w:lvlText w:val="%1."/>
      <w:lvlJc w:val="left"/>
      <w:pPr>
        <w:ind w:left="644" w:hanging="360"/>
      </w:pPr>
    </w:lvl>
    <w:lvl w:ilvl="1" w:tplc="04070019">
      <w:start w:val="1"/>
      <w:numFmt w:val="lowerLetter"/>
      <w:lvlText w:val="%2."/>
      <w:lvlJc w:val="left"/>
      <w:pPr>
        <w:ind w:left="1364" w:hanging="360"/>
      </w:pPr>
    </w:lvl>
    <w:lvl w:ilvl="2" w:tplc="0407001B">
      <w:start w:val="1"/>
      <w:numFmt w:val="lowerRoman"/>
      <w:lvlText w:val="%3."/>
      <w:lvlJc w:val="right"/>
      <w:pPr>
        <w:ind w:left="2084" w:hanging="180"/>
      </w:pPr>
    </w:lvl>
    <w:lvl w:ilvl="3" w:tplc="0407000F">
      <w:start w:val="1"/>
      <w:numFmt w:val="decimal"/>
      <w:lvlText w:val="%4."/>
      <w:lvlJc w:val="left"/>
      <w:pPr>
        <w:ind w:left="2804" w:hanging="360"/>
      </w:pPr>
    </w:lvl>
    <w:lvl w:ilvl="4" w:tplc="04070019">
      <w:start w:val="1"/>
      <w:numFmt w:val="lowerLetter"/>
      <w:lvlText w:val="%5."/>
      <w:lvlJc w:val="left"/>
      <w:pPr>
        <w:ind w:left="3524" w:hanging="360"/>
      </w:pPr>
    </w:lvl>
    <w:lvl w:ilvl="5" w:tplc="0407001B">
      <w:start w:val="1"/>
      <w:numFmt w:val="lowerRoman"/>
      <w:lvlText w:val="%6."/>
      <w:lvlJc w:val="right"/>
      <w:pPr>
        <w:ind w:left="4244" w:hanging="180"/>
      </w:pPr>
    </w:lvl>
    <w:lvl w:ilvl="6" w:tplc="0407000F">
      <w:start w:val="1"/>
      <w:numFmt w:val="decimal"/>
      <w:lvlText w:val="%7."/>
      <w:lvlJc w:val="left"/>
      <w:pPr>
        <w:ind w:left="4964" w:hanging="360"/>
      </w:pPr>
    </w:lvl>
    <w:lvl w:ilvl="7" w:tplc="04070019">
      <w:start w:val="1"/>
      <w:numFmt w:val="lowerLetter"/>
      <w:lvlText w:val="%8."/>
      <w:lvlJc w:val="left"/>
      <w:pPr>
        <w:ind w:left="5684" w:hanging="360"/>
      </w:pPr>
    </w:lvl>
    <w:lvl w:ilvl="8" w:tplc="0407001B">
      <w:start w:val="1"/>
      <w:numFmt w:val="lowerRoman"/>
      <w:lvlText w:val="%9."/>
      <w:lvlJc w:val="right"/>
      <w:pPr>
        <w:ind w:left="6404" w:hanging="180"/>
      </w:p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6E17294"/>
    <w:multiLevelType w:val="hybridMultilevel"/>
    <w:tmpl w:val="2ADCA598"/>
    <w:lvl w:ilvl="0" w:tplc="04070017">
      <w:start w:val="1"/>
      <w:numFmt w:val="lowerLetter"/>
      <w:lvlText w:val="%1)"/>
      <w:lvlJc w:val="left"/>
      <w:pPr>
        <w:ind w:left="644" w:hanging="360"/>
      </w:pPr>
    </w:lvl>
    <w:lvl w:ilvl="1" w:tplc="04070019">
      <w:start w:val="1"/>
      <w:numFmt w:val="lowerLetter"/>
      <w:lvlText w:val="%2."/>
      <w:lvlJc w:val="left"/>
      <w:pPr>
        <w:ind w:left="1364" w:hanging="360"/>
      </w:pPr>
    </w:lvl>
    <w:lvl w:ilvl="2" w:tplc="0407001B">
      <w:start w:val="1"/>
      <w:numFmt w:val="lowerRoman"/>
      <w:lvlText w:val="%3."/>
      <w:lvlJc w:val="right"/>
      <w:pPr>
        <w:ind w:left="2084" w:hanging="180"/>
      </w:pPr>
    </w:lvl>
    <w:lvl w:ilvl="3" w:tplc="0407000F">
      <w:start w:val="1"/>
      <w:numFmt w:val="decimal"/>
      <w:lvlText w:val="%4."/>
      <w:lvlJc w:val="left"/>
      <w:pPr>
        <w:ind w:left="2804" w:hanging="360"/>
      </w:pPr>
    </w:lvl>
    <w:lvl w:ilvl="4" w:tplc="04070019">
      <w:start w:val="1"/>
      <w:numFmt w:val="lowerLetter"/>
      <w:lvlText w:val="%5."/>
      <w:lvlJc w:val="left"/>
      <w:pPr>
        <w:ind w:left="3524" w:hanging="360"/>
      </w:pPr>
    </w:lvl>
    <w:lvl w:ilvl="5" w:tplc="0407001B">
      <w:start w:val="1"/>
      <w:numFmt w:val="lowerRoman"/>
      <w:lvlText w:val="%6."/>
      <w:lvlJc w:val="right"/>
      <w:pPr>
        <w:ind w:left="4244" w:hanging="180"/>
      </w:pPr>
    </w:lvl>
    <w:lvl w:ilvl="6" w:tplc="0407000F">
      <w:start w:val="1"/>
      <w:numFmt w:val="decimal"/>
      <w:lvlText w:val="%7."/>
      <w:lvlJc w:val="left"/>
      <w:pPr>
        <w:ind w:left="4964" w:hanging="360"/>
      </w:pPr>
    </w:lvl>
    <w:lvl w:ilvl="7" w:tplc="04070019">
      <w:start w:val="1"/>
      <w:numFmt w:val="lowerLetter"/>
      <w:lvlText w:val="%8."/>
      <w:lvlJc w:val="left"/>
      <w:pPr>
        <w:ind w:left="5684" w:hanging="360"/>
      </w:pPr>
    </w:lvl>
    <w:lvl w:ilvl="8" w:tplc="0407001B">
      <w:start w:val="1"/>
      <w:numFmt w:val="lowerRoman"/>
      <w:lvlText w:val="%9."/>
      <w:lvlJc w:val="right"/>
      <w:pPr>
        <w:ind w:left="6404" w:hanging="180"/>
      </w:pPr>
    </w:lvl>
  </w:abstractNum>
  <w:abstractNum w:abstractNumId="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4AC11E6E"/>
    <w:multiLevelType w:val="multilevel"/>
    <w:tmpl w:val="3AE827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E0B3A6E"/>
    <w:multiLevelType w:val="hybridMultilevel"/>
    <w:tmpl w:val="7E1EAF3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2" w15:restartNumberingAfterBreak="0">
    <w:nsid w:val="5AC57F36"/>
    <w:multiLevelType w:val="multilevel"/>
    <w:tmpl w:val="264448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8FA18EA"/>
    <w:multiLevelType w:val="hybridMultilevel"/>
    <w:tmpl w:val="331AF202"/>
    <w:lvl w:ilvl="0" w:tplc="1D36FCFE">
      <w:start w:val="1"/>
      <w:numFmt w:val="bullet"/>
      <w:lvlText w:val="-"/>
      <w:lvlJc w:val="left"/>
      <w:pPr>
        <w:ind w:left="1080" w:hanging="360"/>
      </w:pPr>
      <w:rPr>
        <w:rFonts w:ascii="Arial" w:eastAsia="MS Mincho"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4" w15:restartNumberingAfterBreak="0">
    <w:nsid w:val="69F47798"/>
    <w:multiLevelType w:val="hybridMultilevel"/>
    <w:tmpl w:val="D466E52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0146DC0"/>
    <w:multiLevelType w:val="hybridMultilevel"/>
    <w:tmpl w:val="D6D8A82E"/>
    <w:lvl w:ilvl="0" w:tplc="8444CB20">
      <w:start w:val="1"/>
      <w:numFmt w:val="bullet"/>
      <w:pStyle w:val="Agreement"/>
      <w:lvlText w:val=""/>
      <w:lvlJc w:val="left"/>
      <w:pPr>
        <w:tabs>
          <w:tab w:val="num" w:pos="360"/>
        </w:tabs>
        <w:ind w:left="360" w:hanging="360"/>
      </w:pPr>
      <w:rPr>
        <w:rFonts w:ascii="Symbol" w:hAnsi="Symbol" w:hint="default"/>
        <w:b/>
        <w:i w:val="0"/>
        <w:color w:val="auto"/>
        <w:sz w:val="22"/>
        <w:lang w:val="en-GB"/>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16" w15:restartNumberingAfterBreak="0">
    <w:nsid w:val="7BFF3BFF"/>
    <w:multiLevelType w:val="multilevel"/>
    <w:tmpl w:val="C27C87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8"/>
  </w:num>
  <w:num w:numId="7">
    <w:abstractNumId w:val="9"/>
  </w:num>
  <w:num w:numId="8">
    <w:abstractNumId w:val="15"/>
  </w:num>
  <w:num w:numId="9">
    <w:abstractNumId w:val="13"/>
  </w:num>
  <w:num w:numId="10">
    <w:abstractNumId w:val="15"/>
  </w:num>
  <w:num w:numId="11">
    <w:abstractNumId w:val="15"/>
  </w:num>
  <w:num w:numId="12">
    <w:abstractNumId w:val="16"/>
  </w:num>
  <w:num w:numId="13">
    <w:abstractNumId w:val="14"/>
  </w:num>
  <w:num w:numId="14">
    <w:abstractNumId w:val="12"/>
  </w:num>
  <w:num w:numId="15">
    <w:abstractNumId w:val="10"/>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 w:numId="19">
    <w:abstractNumId w:val="15"/>
  </w:num>
  <w:num w:numId="20">
    <w:abstractNumId w:val="2"/>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3A12"/>
    <w:rsid w:val="00014CBB"/>
    <w:rsid w:val="00016557"/>
    <w:rsid w:val="00016FE9"/>
    <w:rsid w:val="00020CC7"/>
    <w:rsid w:val="00023C40"/>
    <w:rsid w:val="00033397"/>
    <w:rsid w:val="00036B2C"/>
    <w:rsid w:val="00040095"/>
    <w:rsid w:val="000400A7"/>
    <w:rsid w:val="00044CC8"/>
    <w:rsid w:val="00045061"/>
    <w:rsid w:val="00055C49"/>
    <w:rsid w:val="0005629E"/>
    <w:rsid w:val="00065268"/>
    <w:rsid w:val="00073C9C"/>
    <w:rsid w:val="00076412"/>
    <w:rsid w:val="000770B1"/>
    <w:rsid w:val="00080512"/>
    <w:rsid w:val="00090468"/>
    <w:rsid w:val="000925CD"/>
    <w:rsid w:val="00094568"/>
    <w:rsid w:val="000A773F"/>
    <w:rsid w:val="000B4439"/>
    <w:rsid w:val="000B7BCF"/>
    <w:rsid w:val="000B7C7C"/>
    <w:rsid w:val="000C191A"/>
    <w:rsid w:val="000C522B"/>
    <w:rsid w:val="000C75FC"/>
    <w:rsid w:val="000D13EC"/>
    <w:rsid w:val="000D26B3"/>
    <w:rsid w:val="000D58AB"/>
    <w:rsid w:val="000E598E"/>
    <w:rsid w:val="000E60F6"/>
    <w:rsid w:val="00100642"/>
    <w:rsid w:val="00102D2C"/>
    <w:rsid w:val="00103D80"/>
    <w:rsid w:val="0010412A"/>
    <w:rsid w:val="00112F1A"/>
    <w:rsid w:val="00120B8B"/>
    <w:rsid w:val="001275D1"/>
    <w:rsid w:val="00131978"/>
    <w:rsid w:val="00145075"/>
    <w:rsid w:val="0014627C"/>
    <w:rsid w:val="00154814"/>
    <w:rsid w:val="001741A0"/>
    <w:rsid w:val="00175FA0"/>
    <w:rsid w:val="00191723"/>
    <w:rsid w:val="00194CD0"/>
    <w:rsid w:val="00195427"/>
    <w:rsid w:val="0019661A"/>
    <w:rsid w:val="00196F35"/>
    <w:rsid w:val="001A1432"/>
    <w:rsid w:val="001B49C9"/>
    <w:rsid w:val="001B4A5D"/>
    <w:rsid w:val="001B667A"/>
    <w:rsid w:val="001C23F4"/>
    <w:rsid w:val="001C27AB"/>
    <w:rsid w:val="001C4620"/>
    <w:rsid w:val="001C4F79"/>
    <w:rsid w:val="001D0A3C"/>
    <w:rsid w:val="001D4C49"/>
    <w:rsid w:val="001E433B"/>
    <w:rsid w:val="001F0C38"/>
    <w:rsid w:val="001F168B"/>
    <w:rsid w:val="001F7831"/>
    <w:rsid w:val="00204045"/>
    <w:rsid w:val="0020433E"/>
    <w:rsid w:val="002065C4"/>
    <w:rsid w:val="0020712B"/>
    <w:rsid w:val="00213EF2"/>
    <w:rsid w:val="0022006A"/>
    <w:rsid w:val="00223037"/>
    <w:rsid w:val="0022606D"/>
    <w:rsid w:val="00226257"/>
    <w:rsid w:val="00231728"/>
    <w:rsid w:val="00242737"/>
    <w:rsid w:val="00244746"/>
    <w:rsid w:val="00244A05"/>
    <w:rsid w:val="00250404"/>
    <w:rsid w:val="00252AB6"/>
    <w:rsid w:val="00256B74"/>
    <w:rsid w:val="002610D8"/>
    <w:rsid w:val="002747EC"/>
    <w:rsid w:val="002832DD"/>
    <w:rsid w:val="002855BF"/>
    <w:rsid w:val="002A2223"/>
    <w:rsid w:val="002A43E6"/>
    <w:rsid w:val="002B2988"/>
    <w:rsid w:val="002C5FD2"/>
    <w:rsid w:val="002E49A6"/>
    <w:rsid w:val="002E73B0"/>
    <w:rsid w:val="002F0B84"/>
    <w:rsid w:val="002F0BF1"/>
    <w:rsid w:val="002F0D22"/>
    <w:rsid w:val="00301BC5"/>
    <w:rsid w:val="00302583"/>
    <w:rsid w:val="003038BF"/>
    <w:rsid w:val="00311B17"/>
    <w:rsid w:val="003172DC"/>
    <w:rsid w:val="00325AE3"/>
    <w:rsid w:val="00326069"/>
    <w:rsid w:val="003307C9"/>
    <w:rsid w:val="00345C1F"/>
    <w:rsid w:val="0035462D"/>
    <w:rsid w:val="00355289"/>
    <w:rsid w:val="00355D6E"/>
    <w:rsid w:val="003573A6"/>
    <w:rsid w:val="00361AE0"/>
    <w:rsid w:val="0036459E"/>
    <w:rsid w:val="00364B41"/>
    <w:rsid w:val="00383096"/>
    <w:rsid w:val="00384E18"/>
    <w:rsid w:val="0039346C"/>
    <w:rsid w:val="003A2796"/>
    <w:rsid w:val="003A3154"/>
    <w:rsid w:val="003A41EF"/>
    <w:rsid w:val="003B2BBB"/>
    <w:rsid w:val="003B40AD"/>
    <w:rsid w:val="003C4E37"/>
    <w:rsid w:val="003D343D"/>
    <w:rsid w:val="003D47E2"/>
    <w:rsid w:val="003D595A"/>
    <w:rsid w:val="003E16BE"/>
    <w:rsid w:val="003E3366"/>
    <w:rsid w:val="003E4D69"/>
    <w:rsid w:val="003E5B4F"/>
    <w:rsid w:val="003F4E28"/>
    <w:rsid w:val="004006E8"/>
    <w:rsid w:val="00401855"/>
    <w:rsid w:val="004064E0"/>
    <w:rsid w:val="00444DB3"/>
    <w:rsid w:val="00446C3A"/>
    <w:rsid w:val="00465587"/>
    <w:rsid w:val="0046785C"/>
    <w:rsid w:val="00477455"/>
    <w:rsid w:val="004A1F7B"/>
    <w:rsid w:val="004B494A"/>
    <w:rsid w:val="004B5B55"/>
    <w:rsid w:val="004C28CB"/>
    <w:rsid w:val="004C44D2"/>
    <w:rsid w:val="004D3578"/>
    <w:rsid w:val="004D380D"/>
    <w:rsid w:val="004D7A09"/>
    <w:rsid w:val="004E213A"/>
    <w:rsid w:val="004F4540"/>
    <w:rsid w:val="004F73A7"/>
    <w:rsid w:val="00500E77"/>
    <w:rsid w:val="00502497"/>
    <w:rsid w:val="00503171"/>
    <w:rsid w:val="00506C28"/>
    <w:rsid w:val="00511DE1"/>
    <w:rsid w:val="00534DA0"/>
    <w:rsid w:val="00543E6C"/>
    <w:rsid w:val="005645A2"/>
    <w:rsid w:val="00564B09"/>
    <w:rsid w:val="00565087"/>
    <w:rsid w:val="0056573F"/>
    <w:rsid w:val="00571279"/>
    <w:rsid w:val="00573485"/>
    <w:rsid w:val="005767E6"/>
    <w:rsid w:val="00581422"/>
    <w:rsid w:val="005A13AB"/>
    <w:rsid w:val="005A49C6"/>
    <w:rsid w:val="005A60C5"/>
    <w:rsid w:val="005C738D"/>
    <w:rsid w:val="005C766E"/>
    <w:rsid w:val="005C7CD5"/>
    <w:rsid w:val="005E4AD3"/>
    <w:rsid w:val="005F3EEC"/>
    <w:rsid w:val="00607192"/>
    <w:rsid w:val="00611566"/>
    <w:rsid w:val="00614CE7"/>
    <w:rsid w:val="00646D99"/>
    <w:rsid w:val="00647043"/>
    <w:rsid w:val="00656910"/>
    <w:rsid w:val="006574C0"/>
    <w:rsid w:val="00672115"/>
    <w:rsid w:val="0067694A"/>
    <w:rsid w:val="006810B3"/>
    <w:rsid w:val="0069249D"/>
    <w:rsid w:val="00696821"/>
    <w:rsid w:val="006C2823"/>
    <w:rsid w:val="006C510A"/>
    <w:rsid w:val="006C66D8"/>
    <w:rsid w:val="006D1E24"/>
    <w:rsid w:val="006D35DE"/>
    <w:rsid w:val="006D6E76"/>
    <w:rsid w:val="006E1057"/>
    <w:rsid w:val="006E1417"/>
    <w:rsid w:val="006E7555"/>
    <w:rsid w:val="006F6A2C"/>
    <w:rsid w:val="007069DC"/>
    <w:rsid w:val="00710201"/>
    <w:rsid w:val="0072073A"/>
    <w:rsid w:val="00725F2B"/>
    <w:rsid w:val="00734193"/>
    <w:rsid w:val="007342B5"/>
    <w:rsid w:val="00734A5B"/>
    <w:rsid w:val="00744E76"/>
    <w:rsid w:val="00757D40"/>
    <w:rsid w:val="007662B5"/>
    <w:rsid w:val="007670A6"/>
    <w:rsid w:val="00781F0F"/>
    <w:rsid w:val="0078727C"/>
    <w:rsid w:val="0079049D"/>
    <w:rsid w:val="00793DC5"/>
    <w:rsid w:val="00796823"/>
    <w:rsid w:val="007A2E55"/>
    <w:rsid w:val="007B18D8"/>
    <w:rsid w:val="007B6274"/>
    <w:rsid w:val="007C095F"/>
    <w:rsid w:val="007C1748"/>
    <w:rsid w:val="007C2B97"/>
    <w:rsid w:val="007C2DD0"/>
    <w:rsid w:val="007E3E72"/>
    <w:rsid w:val="007F2E08"/>
    <w:rsid w:val="008024FA"/>
    <w:rsid w:val="008028A4"/>
    <w:rsid w:val="00806BEE"/>
    <w:rsid w:val="00813245"/>
    <w:rsid w:val="00840DE0"/>
    <w:rsid w:val="00847CD0"/>
    <w:rsid w:val="008607A8"/>
    <w:rsid w:val="0086354A"/>
    <w:rsid w:val="00874D0C"/>
    <w:rsid w:val="008768CA"/>
    <w:rsid w:val="00877EF9"/>
    <w:rsid w:val="00880559"/>
    <w:rsid w:val="008829F7"/>
    <w:rsid w:val="008836E8"/>
    <w:rsid w:val="008941C2"/>
    <w:rsid w:val="00897CB5"/>
    <w:rsid w:val="008B5306"/>
    <w:rsid w:val="008B54E8"/>
    <w:rsid w:val="008C2E2A"/>
    <w:rsid w:val="008C3057"/>
    <w:rsid w:val="008D2E4D"/>
    <w:rsid w:val="008F396F"/>
    <w:rsid w:val="008F3DCD"/>
    <w:rsid w:val="008F4B8A"/>
    <w:rsid w:val="008F6B59"/>
    <w:rsid w:val="0090271F"/>
    <w:rsid w:val="00902DB9"/>
    <w:rsid w:val="0090466A"/>
    <w:rsid w:val="00905D96"/>
    <w:rsid w:val="00910739"/>
    <w:rsid w:val="00912084"/>
    <w:rsid w:val="00922A6C"/>
    <w:rsid w:val="00923655"/>
    <w:rsid w:val="009339CB"/>
    <w:rsid w:val="00936071"/>
    <w:rsid w:val="009376CD"/>
    <w:rsid w:val="00940212"/>
    <w:rsid w:val="00942EC2"/>
    <w:rsid w:val="00961B32"/>
    <w:rsid w:val="00962509"/>
    <w:rsid w:val="00970A3A"/>
    <w:rsid w:val="00970DB3"/>
    <w:rsid w:val="00971C58"/>
    <w:rsid w:val="00974BB0"/>
    <w:rsid w:val="00975BCD"/>
    <w:rsid w:val="009847B9"/>
    <w:rsid w:val="009928A9"/>
    <w:rsid w:val="009A0AF3"/>
    <w:rsid w:val="009A2892"/>
    <w:rsid w:val="009B07CD"/>
    <w:rsid w:val="009C19E9"/>
    <w:rsid w:val="009C7926"/>
    <w:rsid w:val="009D5A4D"/>
    <w:rsid w:val="009D74A6"/>
    <w:rsid w:val="009E0E87"/>
    <w:rsid w:val="009E21F2"/>
    <w:rsid w:val="009E445E"/>
    <w:rsid w:val="009F6C36"/>
    <w:rsid w:val="00A07C0B"/>
    <w:rsid w:val="00A07DB0"/>
    <w:rsid w:val="00A10F02"/>
    <w:rsid w:val="00A17176"/>
    <w:rsid w:val="00A204CA"/>
    <w:rsid w:val="00A209D6"/>
    <w:rsid w:val="00A21067"/>
    <w:rsid w:val="00A21934"/>
    <w:rsid w:val="00A22738"/>
    <w:rsid w:val="00A36F5F"/>
    <w:rsid w:val="00A430EC"/>
    <w:rsid w:val="00A46A06"/>
    <w:rsid w:val="00A53724"/>
    <w:rsid w:val="00A54B2B"/>
    <w:rsid w:val="00A64E98"/>
    <w:rsid w:val="00A703B6"/>
    <w:rsid w:val="00A71D1E"/>
    <w:rsid w:val="00A76D7A"/>
    <w:rsid w:val="00A77170"/>
    <w:rsid w:val="00A82346"/>
    <w:rsid w:val="00A9671C"/>
    <w:rsid w:val="00AA057F"/>
    <w:rsid w:val="00AA1553"/>
    <w:rsid w:val="00AA74BD"/>
    <w:rsid w:val="00AB2783"/>
    <w:rsid w:val="00AC5ED8"/>
    <w:rsid w:val="00AE27FF"/>
    <w:rsid w:val="00AF0A59"/>
    <w:rsid w:val="00B05380"/>
    <w:rsid w:val="00B05962"/>
    <w:rsid w:val="00B15449"/>
    <w:rsid w:val="00B16C2F"/>
    <w:rsid w:val="00B16E1B"/>
    <w:rsid w:val="00B27303"/>
    <w:rsid w:val="00B46617"/>
    <w:rsid w:val="00B47FD1"/>
    <w:rsid w:val="00B516BB"/>
    <w:rsid w:val="00B7538C"/>
    <w:rsid w:val="00B771A0"/>
    <w:rsid w:val="00B84DB2"/>
    <w:rsid w:val="00BB5D72"/>
    <w:rsid w:val="00BC3555"/>
    <w:rsid w:val="00BC3722"/>
    <w:rsid w:val="00BD5175"/>
    <w:rsid w:val="00BF539C"/>
    <w:rsid w:val="00C02210"/>
    <w:rsid w:val="00C03628"/>
    <w:rsid w:val="00C12B51"/>
    <w:rsid w:val="00C23EB2"/>
    <w:rsid w:val="00C24650"/>
    <w:rsid w:val="00C25465"/>
    <w:rsid w:val="00C33079"/>
    <w:rsid w:val="00C55A12"/>
    <w:rsid w:val="00C609EC"/>
    <w:rsid w:val="00C63039"/>
    <w:rsid w:val="00C6553E"/>
    <w:rsid w:val="00C83A13"/>
    <w:rsid w:val="00C86F10"/>
    <w:rsid w:val="00C9068C"/>
    <w:rsid w:val="00C9096C"/>
    <w:rsid w:val="00C92967"/>
    <w:rsid w:val="00CA2524"/>
    <w:rsid w:val="00CA39AB"/>
    <w:rsid w:val="00CA3D0C"/>
    <w:rsid w:val="00CA654B"/>
    <w:rsid w:val="00CB72B8"/>
    <w:rsid w:val="00CD0BA8"/>
    <w:rsid w:val="00CD4C7B"/>
    <w:rsid w:val="00CD58FE"/>
    <w:rsid w:val="00CF33EB"/>
    <w:rsid w:val="00D15154"/>
    <w:rsid w:val="00D17D8F"/>
    <w:rsid w:val="00D33BE3"/>
    <w:rsid w:val="00D3792D"/>
    <w:rsid w:val="00D40C41"/>
    <w:rsid w:val="00D44D3A"/>
    <w:rsid w:val="00D44DCC"/>
    <w:rsid w:val="00D55E47"/>
    <w:rsid w:val="00D62E19"/>
    <w:rsid w:val="00D67CD1"/>
    <w:rsid w:val="00D72E79"/>
    <w:rsid w:val="00D738D6"/>
    <w:rsid w:val="00D80795"/>
    <w:rsid w:val="00D854BE"/>
    <w:rsid w:val="00D87D7F"/>
    <w:rsid w:val="00D87E00"/>
    <w:rsid w:val="00D9134D"/>
    <w:rsid w:val="00D93EB1"/>
    <w:rsid w:val="00D94B64"/>
    <w:rsid w:val="00D9583A"/>
    <w:rsid w:val="00D96D11"/>
    <w:rsid w:val="00D97801"/>
    <w:rsid w:val="00DA2A2D"/>
    <w:rsid w:val="00DA7A03"/>
    <w:rsid w:val="00DB0DB8"/>
    <w:rsid w:val="00DB1818"/>
    <w:rsid w:val="00DC0E34"/>
    <w:rsid w:val="00DC1D51"/>
    <w:rsid w:val="00DC309B"/>
    <w:rsid w:val="00DC4DA2"/>
    <w:rsid w:val="00DC5261"/>
    <w:rsid w:val="00DD51B5"/>
    <w:rsid w:val="00DE1BA6"/>
    <w:rsid w:val="00DE25D2"/>
    <w:rsid w:val="00DE34BB"/>
    <w:rsid w:val="00DE41C8"/>
    <w:rsid w:val="00DF09EA"/>
    <w:rsid w:val="00DF7C20"/>
    <w:rsid w:val="00E01A03"/>
    <w:rsid w:val="00E03866"/>
    <w:rsid w:val="00E106FD"/>
    <w:rsid w:val="00E15F96"/>
    <w:rsid w:val="00E219C7"/>
    <w:rsid w:val="00E274CB"/>
    <w:rsid w:val="00E27F68"/>
    <w:rsid w:val="00E37761"/>
    <w:rsid w:val="00E37DA0"/>
    <w:rsid w:val="00E46A44"/>
    <w:rsid w:val="00E46C08"/>
    <w:rsid w:val="00E471CF"/>
    <w:rsid w:val="00E5576B"/>
    <w:rsid w:val="00E60520"/>
    <w:rsid w:val="00E62835"/>
    <w:rsid w:val="00E65655"/>
    <w:rsid w:val="00E708D3"/>
    <w:rsid w:val="00E71BA9"/>
    <w:rsid w:val="00E77645"/>
    <w:rsid w:val="00E83697"/>
    <w:rsid w:val="00E859B6"/>
    <w:rsid w:val="00EA66C9"/>
    <w:rsid w:val="00EB5D32"/>
    <w:rsid w:val="00EC4A25"/>
    <w:rsid w:val="00ED1233"/>
    <w:rsid w:val="00EE4ED7"/>
    <w:rsid w:val="00EE63F7"/>
    <w:rsid w:val="00EF0039"/>
    <w:rsid w:val="00EF48E2"/>
    <w:rsid w:val="00EF612C"/>
    <w:rsid w:val="00EF6EA7"/>
    <w:rsid w:val="00EF7044"/>
    <w:rsid w:val="00F025A2"/>
    <w:rsid w:val="00F036E9"/>
    <w:rsid w:val="00F0480E"/>
    <w:rsid w:val="00F07388"/>
    <w:rsid w:val="00F12940"/>
    <w:rsid w:val="00F14941"/>
    <w:rsid w:val="00F16EDB"/>
    <w:rsid w:val="00F2026E"/>
    <w:rsid w:val="00F2210A"/>
    <w:rsid w:val="00F22498"/>
    <w:rsid w:val="00F31372"/>
    <w:rsid w:val="00F37743"/>
    <w:rsid w:val="00F54A3D"/>
    <w:rsid w:val="00F54CB0"/>
    <w:rsid w:val="00F579CD"/>
    <w:rsid w:val="00F653B8"/>
    <w:rsid w:val="00F65F08"/>
    <w:rsid w:val="00F71B89"/>
    <w:rsid w:val="00F7353C"/>
    <w:rsid w:val="00F76F8F"/>
    <w:rsid w:val="00F8422F"/>
    <w:rsid w:val="00F87257"/>
    <w:rsid w:val="00F941DF"/>
    <w:rsid w:val="00FA1266"/>
    <w:rsid w:val="00FB36FA"/>
    <w:rsid w:val="00FC0D8B"/>
    <w:rsid w:val="00FC1192"/>
    <w:rsid w:val="00FC2B41"/>
    <w:rsid w:val="00FD4637"/>
    <w:rsid w:val="00FE106D"/>
    <w:rsid w:val="00FE251B"/>
    <w:rsid w:val="00FE5548"/>
    <w:rsid w:val="00FF1E87"/>
    <w:rsid w:val="00FF4529"/>
    <w:rsid w:val="00FF54DA"/>
    <w:rsid w:val="00FF67B2"/>
    <w:rsid w:val="1156D1E9"/>
    <w:rsid w:val="2284CC83"/>
    <w:rsid w:val="5ED62B1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BDB08DEC-90C5-4829-854D-716D56BFDF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734193"/>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normaltextrun">
    <w:name w:val="normaltextrun"/>
    <w:basedOn w:val="DefaultParagraphFont"/>
    <w:rsid w:val="000400A7"/>
  </w:style>
  <w:style w:type="table" w:styleId="TableGrid">
    <w:name w:val="Table Grid"/>
    <w:basedOn w:val="TableNormal"/>
    <w:qFormat/>
    <w:rsid w:val="000400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0400A7"/>
    <w:pPr>
      <w:numPr>
        <w:numId w:val="8"/>
      </w:numPr>
      <w:spacing w:before="60" w:after="0"/>
    </w:pPr>
    <w:rPr>
      <w:rFonts w:ascii="Arial" w:eastAsia="MS Mincho" w:hAnsi="Arial"/>
      <w:b/>
      <w:szCs w:val="24"/>
      <w:lang w:eastAsia="en-GB"/>
    </w:rPr>
  </w:style>
  <w:style w:type="character" w:styleId="CommentReference">
    <w:name w:val="annotation reference"/>
    <w:basedOn w:val="DefaultParagraphFont"/>
    <w:rsid w:val="00F22498"/>
    <w:rPr>
      <w:sz w:val="16"/>
      <w:szCs w:val="16"/>
    </w:rPr>
  </w:style>
  <w:style w:type="paragraph" w:styleId="CommentText">
    <w:name w:val="annotation text"/>
    <w:basedOn w:val="Normal"/>
    <w:link w:val="CommentTextChar"/>
    <w:rsid w:val="00F22498"/>
  </w:style>
  <w:style w:type="character" w:customStyle="1" w:styleId="CommentTextChar">
    <w:name w:val="Comment Text Char"/>
    <w:basedOn w:val="DefaultParagraphFont"/>
    <w:link w:val="CommentText"/>
    <w:rsid w:val="00F22498"/>
    <w:rPr>
      <w:lang w:eastAsia="en-US"/>
    </w:rPr>
  </w:style>
  <w:style w:type="paragraph" w:styleId="CommentSubject">
    <w:name w:val="annotation subject"/>
    <w:basedOn w:val="CommentText"/>
    <w:next w:val="CommentText"/>
    <w:link w:val="CommentSubjectChar"/>
    <w:rsid w:val="00F22498"/>
    <w:rPr>
      <w:b/>
      <w:bCs/>
    </w:rPr>
  </w:style>
  <w:style w:type="character" w:customStyle="1" w:styleId="CommentSubjectChar">
    <w:name w:val="Comment Subject Char"/>
    <w:basedOn w:val="CommentTextChar"/>
    <w:link w:val="CommentSubject"/>
    <w:rsid w:val="00F22498"/>
    <w:rPr>
      <w:b/>
      <w:bCs/>
      <w:lang w:eastAsia="en-US"/>
    </w:rPr>
  </w:style>
  <w:style w:type="character" w:styleId="Mention">
    <w:name w:val="Mention"/>
    <w:basedOn w:val="DefaultParagraphFont"/>
    <w:uiPriority w:val="99"/>
    <w:unhideWhenUsed/>
    <w:rsid w:val="00725F2B"/>
    <w:rPr>
      <w:color w:val="2B579A"/>
      <w:shd w:val="clear" w:color="auto" w:fill="E1DFDD"/>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ê¥¹¥È¶ÎÂä Char,列表段落1 Char,—ño’i—Ž Char,Paragrafo elenco Char"/>
    <w:basedOn w:val="DefaultParagraphFont"/>
    <w:link w:val="ListParagraph"/>
    <w:uiPriority w:val="34"/>
    <w:qFormat/>
    <w:locked/>
    <w:rsid w:val="00CA2524"/>
    <w:rPr>
      <w:lang w:eastAsia="en-US"/>
    </w:rPr>
  </w:style>
  <w:style w:type="paragraph" w:styleId="ListParagraph">
    <w:name w:val="List Paragraph"/>
    <w:aliases w:val="- Bullets,목록 단락,リスト段落,列出段落,?? ??,?????,????,Lista1,列出段落1,中等深浅网格 1 - 着色 21,列表段落,¥¡¡¡¡ì¬º¥¹¥È¶ÎÂä,ÁÐ³ö¶ÎÂä,¥ê¥¹¥È¶ÎÂä,列表段落1,—ño’i—Ž,1st level - Bullet List Paragraph,Lettre d'introduction,Paragrafo elenco,Normal bullet 2,Bullet list,목록단락"/>
    <w:basedOn w:val="Normal"/>
    <w:link w:val="ListParagraphChar"/>
    <w:uiPriority w:val="34"/>
    <w:qFormat/>
    <w:rsid w:val="00CA2524"/>
    <w:pPr>
      <w:ind w:left="720"/>
      <w:contextualSpacing/>
    </w:pPr>
  </w:style>
  <w:style w:type="character" w:customStyle="1" w:styleId="THChar">
    <w:name w:val="TH Char"/>
    <w:link w:val="TH"/>
    <w:qFormat/>
    <w:rsid w:val="00734193"/>
    <w:rPr>
      <w:rFonts w:ascii="Arial" w:hAnsi="Arial"/>
      <w:b/>
      <w:lang w:eastAsia="en-US"/>
    </w:rPr>
  </w:style>
  <w:style w:type="character" w:customStyle="1" w:styleId="TFChar">
    <w:name w:val="TF Char"/>
    <w:link w:val="TF"/>
    <w:qFormat/>
    <w:rsid w:val="00734193"/>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321885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4978958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39380488">
      <w:bodyDiv w:val="1"/>
      <w:marLeft w:val="0"/>
      <w:marRight w:val="0"/>
      <w:marTop w:val="0"/>
      <w:marBottom w:val="0"/>
      <w:divBdr>
        <w:top w:val="none" w:sz="0" w:space="0" w:color="auto"/>
        <w:left w:val="none" w:sz="0" w:space="0" w:color="auto"/>
        <w:bottom w:val="none" w:sz="0" w:space="0" w:color="auto"/>
        <w:right w:val="none" w:sz="0" w:space="0" w:color="auto"/>
      </w:divBdr>
    </w:div>
    <w:div w:id="1609505457">
      <w:bodyDiv w:val="1"/>
      <w:marLeft w:val="0"/>
      <w:marRight w:val="0"/>
      <w:marTop w:val="0"/>
      <w:marBottom w:val="0"/>
      <w:divBdr>
        <w:top w:val="none" w:sz="0" w:space="0" w:color="auto"/>
        <w:left w:val="none" w:sz="0" w:space="0" w:color="auto"/>
        <w:bottom w:val="none" w:sz="0" w:space="0" w:color="auto"/>
        <w:right w:val="none" w:sz="0" w:space="0" w:color="auto"/>
      </w:divBdr>
    </w:div>
    <w:div w:id="1780559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5AIRPNAIUNRU-859666464-12898</_dlc_DocId>
    <_dlc_DocIdUrl xmlns="71c5aaf6-e6ce-465b-b873-5148d2a4c105">
      <Url>https://nokia.sharepoint.com/sites/c5g/e2earch/_layouts/15/DocIdRedir.aspx?ID=5AIRPNAIUNRU-859666464-12898</Url>
      <Description>5AIRPNAIUNRU-859666464-12898</Description>
    </_dlc_DocIdUrl>
  </documentManagement>
</p:properties>
</file>

<file path=customXml/itemProps1.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a3840f4f-04be-43d1-b2ef-6ff1382503c7"/>
    <ds:schemaRef ds:uri="http://www.w3.org/XML/1998/namespace"/>
    <ds:schemaRef ds:uri="http://schemas.microsoft.com/office/infopath/2007/PartnerControls"/>
    <ds:schemaRef ds:uri="83f22d2f-d16e-4be6-ad4f-29fa0b067c3c"/>
    <ds:schemaRef ds:uri="http://purl.org/dc/terms/"/>
    <ds:schemaRef ds:uri="http://schemas.microsoft.com/office/2006/metadata/properties"/>
    <ds:schemaRef ds:uri="http://schemas.microsoft.com/office/2006/documentManagement/types"/>
    <ds:schemaRef ds:uri="http://schemas.openxmlformats.org/package/2006/metadata/core-properties"/>
    <ds:schemaRef ds:uri="http://purl.org/dc/elements/1.1/"/>
    <ds:schemaRef ds:uri="3b34c8f0-1ef5-4d1e-bb66-517ce7fe7356"/>
    <ds:schemaRef ds:uri="71c5aaf6-e6ce-465b-b873-5148d2a4c105"/>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6</Pages>
  <Words>3066</Words>
  <Characters>16031</Characters>
  <Application>Microsoft Office Word</Application>
  <DocSecurity>0</DocSecurity>
  <Lines>133</Lines>
  <Paragraphs>38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19059</CharactersWithSpaces>
  <SharedDoc>false</SharedDoc>
  <HyperlinkBase/>
  <HLinks>
    <vt:vector size="42" baseType="variant">
      <vt:variant>
        <vt:i4>1769586</vt:i4>
      </vt:variant>
      <vt:variant>
        <vt:i4>18</vt:i4>
      </vt:variant>
      <vt:variant>
        <vt:i4>0</vt:i4>
      </vt:variant>
      <vt:variant>
        <vt:i4>5</vt:i4>
      </vt:variant>
      <vt:variant>
        <vt:lpwstr>mailto:panagiotis.spapis@nokia-bell-labs.com</vt:lpwstr>
      </vt:variant>
      <vt:variant>
        <vt:lpwstr/>
      </vt:variant>
      <vt:variant>
        <vt:i4>1769586</vt:i4>
      </vt:variant>
      <vt:variant>
        <vt:i4>15</vt:i4>
      </vt:variant>
      <vt:variant>
        <vt:i4>0</vt:i4>
      </vt:variant>
      <vt:variant>
        <vt:i4>5</vt:i4>
      </vt:variant>
      <vt:variant>
        <vt:lpwstr>mailto:panagiotis.spapis@nokia-bell-labs.com</vt:lpwstr>
      </vt:variant>
      <vt:variant>
        <vt:lpwstr/>
      </vt:variant>
      <vt:variant>
        <vt:i4>3801175</vt:i4>
      </vt:variant>
      <vt:variant>
        <vt:i4>12</vt:i4>
      </vt:variant>
      <vt:variant>
        <vt:i4>0</vt:i4>
      </vt:variant>
      <vt:variant>
        <vt:i4>5</vt:i4>
      </vt:variant>
      <vt:variant>
        <vt:lpwstr>mailto:timo.koskela@nokia.com</vt:lpwstr>
      </vt:variant>
      <vt:variant>
        <vt:lpwstr/>
      </vt:variant>
      <vt:variant>
        <vt:i4>3801175</vt:i4>
      </vt:variant>
      <vt:variant>
        <vt:i4>9</vt:i4>
      </vt:variant>
      <vt:variant>
        <vt:i4>0</vt:i4>
      </vt:variant>
      <vt:variant>
        <vt:i4>5</vt:i4>
      </vt:variant>
      <vt:variant>
        <vt:lpwstr>mailto:timo.koskela@nokia.com</vt:lpwstr>
      </vt:variant>
      <vt:variant>
        <vt:lpwstr/>
      </vt:variant>
      <vt:variant>
        <vt:i4>3145811</vt:i4>
      </vt:variant>
      <vt:variant>
        <vt:i4>6</vt:i4>
      </vt:variant>
      <vt:variant>
        <vt:i4>0</vt:i4>
      </vt:variant>
      <vt:variant>
        <vt:i4>5</vt:i4>
      </vt:variant>
      <vt:variant>
        <vt:lpwstr>mailto:ahmad.awada@nokia-bell-labs.com</vt:lpwstr>
      </vt:variant>
      <vt:variant>
        <vt:lpwstr/>
      </vt:variant>
      <vt:variant>
        <vt:i4>1769586</vt:i4>
      </vt:variant>
      <vt:variant>
        <vt:i4>3</vt:i4>
      </vt:variant>
      <vt:variant>
        <vt:i4>0</vt:i4>
      </vt:variant>
      <vt:variant>
        <vt:i4>5</vt:i4>
      </vt:variant>
      <vt:variant>
        <vt:lpwstr>mailto:panagiotis.spapis@nokia-bell-labs.com</vt:lpwstr>
      </vt:variant>
      <vt:variant>
        <vt:lpwstr/>
      </vt:variant>
      <vt:variant>
        <vt:i4>3145811</vt:i4>
      </vt:variant>
      <vt:variant>
        <vt:i4>0</vt:i4>
      </vt:variant>
      <vt:variant>
        <vt:i4>0</vt:i4>
      </vt:variant>
      <vt:variant>
        <vt:i4>5</vt:i4>
      </vt:variant>
      <vt:variant>
        <vt:lpwstr>mailto:ahmad.awada@nokia-bell-labs.com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142</cp:revision>
  <cp:lastPrinted>2022-10-29T00:53:00Z</cp:lastPrinted>
  <dcterms:created xsi:type="dcterms:W3CDTF">2022-10-27T05:10:00Z</dcterms:created>
  <dcterms:modified xsi:type="dcterms:W3CDTF">2022-11-04T06:58:00Z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27edae1e-a2c0-4cee-a937-1fb668c3c0d3</vt:lpwstr>
  </property>
  <property fmtid="{D5CDD505-2E9C-101B-9397-08002B2CF9AE}" pid="4" name="GrammarlyDocumentId">
    <vt:lpwstr>9973410e50d7f3bbb73256bde93492e1d3171ef4c7c167c307ea87a93b5b960f</vt:lpwstr>
  </property>
</Properties>
</file>